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 xml:space="preserve">  2025年深圳市国土空间规划实施评估 </w:t>
      </w:r>
      <w:r>
        <w:rPr>
          <w:rFonts w:ascii="黑体" w:hAnsi="黑体" w:eastAsia="黑体" w:cs="黑体"/>
          <w:b/>
          <w:color w:val="000000" w:themeColor="text1"/>
          <w:sz w:val="44"/>
          <w:szCs w:val="44"/>
          <w14:textFill>
            <w14:solidFill>
              <w14:schemeClr w14:val="tx1"/>
            </w14:solidFill>
          </w14:textFill>
        </w:rPr>
        <w:t xml:space="preserve"> </w:t>
      </w:r>
      <w:r>
        <w:rPr>
          <w:rFonts w:hint="eastAsia" w:ascii="黑体" w:hAnsi="黑体" w:eastAsia="黑体" w:cs="黑体"/>
          <w:b/>
          <w:color w:val="000000" w:themeColor="text1"/>
          <w:sz w:val="44"/>
          <w:szCs w:val="44"/>
          <w14:textFill>
            <w14:solidFill>
              <w14:schemeClr w14:val="tx1"/>
            </w14:solidFill>
          </w14:textFill>
        </w:rPr>
        <w:t>及城市体检项目采购需求文件</w:t>
      </w:r>
    </w:p>
    <w:tbl>
      <w:tblPr>
        <w:tblStyle w:val="9"/>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项目名称</w:t>
            </w:r>
          </w:p>
        </w:tc>
        <w:tc>
          <w:tcPr>
            <w:tcW w:w="7407" w:type="dxa"/>
            <w:gridSpan w:val="4"/>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2025年深圳市国土空间规划实施评估及城市体检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采购人名称</w:t>
            </w:r>
          </w:p>
        </w:tc>
        <w:tc>
          <w:tcPr>
            <w:tcW w:w="3780" w:type="dxa"/>
            <w:gridSpan w:val="2"/>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深圳市规划和自然资源局</w:t>
            </w:r>
          </w:p>
        </w:tc>
        <w:tc>
          <w:tcPr>
            <w:tcW w:w="1366"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采购方式</w:t>
            </w:r>
          </w:p>
        </w:tc>
        <w:tc>
          <w:tcPr>
            <w:tcW w:w="2261"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计划立项批文号</w:t>
            </w:r>
          </w:p>
        </w:tc>
        <w:tc>
          <w:tcPr>
            <w:tcW w:w="3780" w:type="dxa"/>
            <w:gridSpan w:val="2"/>
            <w:vAlign w:val="center"/>
          </w:tcPr>
          <w:p>
            <w:pPr>
              <w:jc w:val="left"/>
              <w:rPr>
                <w:rFonts w:ascii="仿宋" w:hAnsi="仿宋" w:eastAsia="仿宋" w:cs="仿宋"/>
                <w:color w:val="000000" w:themeColor="text1"/>
                <w:szCs w:val="21"/>
                <w14:textFill>
                  <w14:solidFill>
                    <w14:schemeClr w14:val="tx1"/>
                  </w14:solidFill>
                </w14:textFill>
              </w:rPr>
            </w:pPr>
          </w:p>
        </w:tc>
        <w:tc>
          <w:tcPr>
            <w:tcW w:w="1366"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资金来源</w:t>
            </w:r>
          </w:p>
        </w:tc>
        <w:tc>
          <w:tcPr>
            <w:tcW w:w="2261"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一般公共</w:t>
            </w:r>
            <w:r>
              <w:rPr>
                <w:rFonts w:hint="eastAsia" w:ascii="仿宋" w:hAnsi="仿宋" w:eastAsia="仿宋" w:cs="仿宋"/>
                <w:szCs w:val="21"/>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财政预算限额（元）</w:t>
            </w:r>
          </w:p>
        </w:tc>
        <w:tc>
          <w:tcPr>
            <w:tcW w:w="3780" w:type="dxa"/>
            <w:gridSpan w:val="2"/>
            <w:vAlign w:val="center"/>
          </w:tcPr>
          <w:p>
            <w:pPr>
              <w:jc w:val="left"/>
              <w:rPr>
                <w:rFonts w:ascii="仿宋" w:hAnsi="仿宋" w:eastAsia="仿宋" w:cs="仿宋"/>
                <w:color w:val="000000" w:themeColor="text1"/>
                <w:szCs w:val="21"/>
                <w14:textFill>
                  <w14:solidFill>
                    <w14:schemeClr w14:val="tx1"/>
                  </w14:solidFill>
                </w14:textFill>
              </w:rPr>
            </w:pPr>
            <w:r>
              <w:rPr>
                <w:rFonts w:hint="default" w:ascii="仿宋" w:hAnsi="仿宋" w:eastAsia="仿宋" w:cs="仿宋"/>
                <w:color w:val="000000" w:themeColor="text1"/>
                <w:szCs w:val="21"/>
                <w:lang w:val="en"/>
                <w14:textFill>
                  <w14:solidFill>
                    <w14:schemeClr w14:val="tx1"/>
                  </w14:solidFill>
                </w14:textFill>
              </w:rPr>
              <w:t>1610</w:t>
            </w:r>
            <w:r>
              <w:rPr>
                <w:rFonts w:ascii="仿宋" w:hAnsi="仿宋" w:eastAsia="仿宋" w:cs="仿宋"/>
                <w:color w:val="000000" w:themeColor="text1"/>
                <w:szCs w:val="21"/>
                <w14:textFill>
                  <w14:solidFill>
                    <w14:schemeClr w14:val="tx1"/>
                  </w14:solidFill>
                </w14:textFill>
              </w:rPr>
              <w:t>000</w:t>
            </w:r>
          </w:p>
        </w:tc>
        <w:tc>
          <w:tcPr>
            <w:tcW w:w="1366" w:type="dxa"/>
            <w:vAlign w:val="center"/>
          </w:tcPr>
          <w:p>
            <w:pPr>
              <w:jc w:val="left"/>
              <w:rPr>
                <w:rFonts w:ascii="仿宋" w:hAnsi="仿宋" w:eastAsia="仿宋" w:cs="仿宋"/>
                <w:color w:val="000000" w:themeColor="text1"/>
                <w:szCs w:val="21"/>
                <w14:textFill>
                  <w14:solidFill>
                    <w14:schemeClr w14:val="tx1"/>
                  </w14:solidFill>
                </w14:textFill>
              </w:rPr>
            </w:pPr>
          </w:p>
        </w:tc>
        <w:tc>
          <w:tcPr>
            <w:tcW w:w="2261" w:type="dxa"/>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项目背景</w:t>
            </w:r>
          </w:p>
        </w:tc>
        <w:tc>
          <w:tcPr>
            <w:tcW w:w="7407" w:type="dxa"/>
            <w:gridSpan w:val="4"/>
            <w:vAlign w:val="center"/>
          </w:tcPr>
          <w:p>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土空间规划是国家空间发展的指南、可持续发展的空间蓝图，是各类开发保护建设活动的基本依据。2019年5月，《中共中央、国务院关于建立国土空间规划体系并监督实施的若干意见》（以下简称《意见》）正式印发实施，提出</w:t>
            </w:r>
            <w:r>
              <w:rPr>
                <w:rFonts w:hint="eastAsia" w:ascii="仿宋" w:hAnsi="仿宋" w:eastAsia="仿宋" w:cs="仿宋"/>
                <w:color w:val="000000" w:themeColor="text1"/>
                <w:szCs w:val="21"/>
                <w:lang w:eastAsia="zh-CN"/>
                <w14:textFill>
                  <w14:solidFill>
                    <w14:schemeClr w14:val="tx1"/>
                  </w14:solidFill>
                </w14:textFill>
              </w:rPr>
              <w:t>“建立健全国土空间规划动态检测评估预警和实施监督机制”</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eastAsia="zh-CN"/>
                <w14:textFill>
                  <w14:solidFill>
                    <w14:schemeClr w14:val="tx1"/>
                  </w14:solidFill>
                </w14:textFill>
              </w:rPr>
              <w:t>建立</w:t>
            </w:r>
            <w:r>
              <w:rPr>
                <w:rFonts w:hint="eastAsia" w:ascii="仿宋" w:hAnsi="仿宋" w:eastAsia="仿宋" w:cs="仿宋"/>
                <w:color w:val="000000" w:themeColor="text1"/>
                <w:szCs w:val="21"/>
                <w14:textFill>
                  <w14:solidFill>
                    <w14:schemeClr w14:val="tx1"/>
                  </w14:solidFill>
                </w14:textFill>
              </w:rPr>
              <w:t>国土空间规划定期评估制度”。城市体检评估工作作为国土空间规划实施管理的配套措施，</w:t>
            </w:r>
            <w:r>
              <w:rPr>
                <w:rFonts w:hint="eastAsia" w:ascii="仿宋" w:hAnsi="仿宋" w:eastAsia="仿宋" w:cs="仿宋"/>
                <w:color w:val="000000" w:themeColor="text1"/>
                <w:szCs w:val="21"/>
                <w:lang w:eastAsia="zh-CN"/>
                <w14:textFill>
                  <w14:solidFill>
                    <w14:schemeClr w14:val="tx1"/>
                  </w14:solidFill>
                </w14:textFill>
              </w:rPr>
              <w:t>曾</w:t>
            </w:r>
            <w:r>
              <w:rPr>
                <w:rFonts w:hint="eastAsia" w:ascii="仿宋" w:hAnsi="仿宋" w:eastAsia="仿宋" w:cs="仿宋"/>
                <w:color w:val="000000" w:themeColor="text1"/>
                <w:szCs w:val="21"/>
                <w14:textFill>
                  <w14:solidFill>
                    <w14:schemeClr w14:val="tx1"/>
                  </w14:solidFill>
                </w14:textFill>
              </w:rPr>
              <w:t>于北京、上海、深圳等10个城市开展两轮体检评估先行先试工作。经过多轮试点和工作经验总结，</w:t>
            </w:r>
            <w:r>
              <w:rPr>
                <w:rFonts w:hint="eastAsia" w:ascii="仿宋" w:hAnsi="仿宋" w:eastAsia="仿宋" w:cs="仿宋"/>
                <w:color w:val="000000" w:themeColor="text1"/>
                <w:szCs w:val="21"/>
                <w:lang w:eastAsia="zh-CN"/>
                <w14:textFill>
                  <w14:solidFill>
                    <w14:schemeClr w14:val="tx1"/>
                  </w14:solidFill>
                </w14:textFill>
              </w:rPr>
              <w:t>自然资源部发布</w:t>
            </w:r>
            <w:r>
              <w:rPr>
                <w:rFonts w:hint="eastAsia" w:ascii="仿宋" w:hAnsi="仿宋" w:eastAsia="仿宋" w:cs="仿宋"/>
                <w:color w:val="000000" w:themeColor="text1"/>
                <w:szCs w:val="21"/>
                <w14:textFill>
                  <w14:solidFill>
                    <w14:schemeClr w14:val="tx1"/>
                  </w14:solidFill>
                </w14:textFill>
              </w:rPr>
              <w:t>《国土空间规划城市体检评估规程》（以下简称《规程》），明确国土空间规划城市体检评估按照“一年一体检、五年一评估”的方式，对城市发展阶段特征及国土空间总体规划实施效果定期进行分析和评价，旨在促进城市高质量发展、提高国土空间规划实施有效性。</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（1）城市体检评估是落实规划实施监管的重要举措</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意见》要求强化规划实施监管的权威性，保证“一张蓝图绘到底”，明确要求依托国土空间基础信息平台，建立健全国土空间规划动态监测评估预警和实施监管机制，建立国土空间规划定期评估制度，结合国民经济社会发展实际和规划定期评估结果，对国土空间规划进行动态调整完善。</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（2）城市体检评估是检验城市运行体征健康的重要抓手</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深圳已步入深度城市化阶段，高质量发展、精细化管理成为城市规划建设管理的必然要求。在此背景下，需要在不同的时间尺度（月、季、半年、年）、不同空间尺度（市、区、重点区域）针对城市整体状况、专项领域、重点领域等方面，开展监测、分析、评估、反馈和校正，从而保证城市健康发展，推动各项城市发展目标有效实现。</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（3）体检评估是及时指导规划管理工作的重要路径</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深圳转向存量发展时期，法定图则已基本覆盖规划建设用地，</w:t>
            </w:r>
            <w:r>
              <w:rPr>
                <w:rFonts w:hint="eastAsia" w:ascii="仿宋" w:hAnsi="仿宋" w:eastAsia="仿宋" w:cs="仿宋"/>
                <w:color w:val="000000" w:themeColor="text1"/>
                <w:szCs w:val="21"/>
                <w:lang w:eastAsia="zh-CN"/>
                <w14:textFill>
                  <w14:solidFill>
                    <w14:schemeClr w14:val="tx1"/>
                  </w14:solidFill>
                </w14:textFill>
              </w:rPr>
              <w:t>存量地区按需开展</w:t>
            </w:r>
            <w:r>
              <w:rPr>
                <w:rFonts w:hint="eastAsia" w:ascii="仿宋" w:hAnsi="仿宋" w:eastAsia="仿宋" w:cs="仿宋"/>
                <w:color w:val="000000" w:themeColor="text1"/>
                <w:szCs w:val="21"/>
                <w14:textFill>
                  <w14:solidFill>
                    <w14:schemeClr w14:val="tx1"/>
                  </w14:solidFill>
                </w14:textFill>
              </w:rPr>
              <w:t>城市更新与土地整备等法定规划</w:t>
            </w:r>
            <w:r>
              <w:rPr>
                <w:rFonts w:hint="eastAsia" w:ascii="仿宋" w:hAnsi="仿宋" w:eastAsia="仿宋" w:cs="仿宋"/>
                <w:color w:val="000000" w:themeColor="text1"/>
                <w:szCs w:val="21"/>
                <w:lang w:eastAsia="zh-CN"/>
                <w14:textFill>
                  <w14:solidFill>
                    <w14:schemeClr w14:val="tx1"/>
                  </w14:solidFill>
                </w14:textFill>
              </w:rPr>
              <w:t>编制</w:t>
            </w:r>
            <w:r>
              <w:rPr>
                <w:rFonts w:hint="eastAsia" w:ascii="仿宋" w:hAnsi="仿宋" w:eastAsia="仿宋" w:cs="仿宋"/>
                <w:color w:val="000000" w:themeColor="text1"/>
                <w:szCs w:val="21"/>
                <w14:textFill>
                  <w14:solidFill>
                    <w14:schemeClr w14:val="tx1"/>
                  </w14:solidFill>
                </w14:textFill>
              </w:rPr>
              <w:t>，需要通过汇总所有法定规划进行一张图层面的评估，</w:t>
            </w:r>
            <w:r>
              <w:rPr>
                <w:rFonts w:hint="eastAsia" w:ascii="仿宋" w:hAnsi="仿宋" w:eastAsia="仿宋" w:cs="仿宋"/>
                <w:color w:val="000000" w:themeColor="text1"/>
                <w:szCs w:val="21"/>
                <w:lang w:eastAsia="zh-CN"/>
                <w14:textFill>
                  <w14:solidFill>
                    <w14:schemeClr w14:val="tx1"/>
                  </w14:solidFill>
                </w14:textFill>
              </w:rPr>
              <w:t>更好</w:t>
            </w:r>
            <w:r>
              <w:rPr>
                <w:rFonts w:hint="eastAsia" w:ascii="仿宋" w:hAnsi="仿宋" w:eastAsia="仿宋" w:cs="仿宋"/>
                <w:color w:val="000000" w:themeColor="text1"/>
                <w:szCs w:val="21"/>
                <w14:textFill>
                  <w14:solidFill>
                    <w14:schemeClr w14:val="tx1"/>
                  </w14:solidFill>
                </w14:textFill>
              </w:rPr>
              <w:t>指导</w:t>
            </w:r>
            <w:r>
              <w:rPr>
                <w:rFonts w:hint="eastAsia" w:ascii="仿宋" w:hAnsi="仿宋" w:eastAsia="仿宋" w:cs="仿宋"/>
                <w:color w:val="000000" w:themeColor="text1"/>
                <w:szCs w:val="21"/>
                <w:lang w:eastAsia="zh-CN"/>
                <w14:textFill>
                  <w14:solidFill>
                    <w14:schemeClr w14:val="tx1"/>
                  </w14:solidFill>
                </w14:textFill>
              </w:rPr>
              <w:t>片区</w:t>
            </w:r>
            <w:r>
              <w:rPr>
                <w:rFonts w:hint="eastAsia" w:ascii="仿宋" w:hAnsi="仿宋" w:eastAsia="仿宋" w:cs="仿宋"/>
                <w:color w:val="000000" w:themeColor="text1"/>
                <w:szCs w:val="21"/>
                <w14:textFill>
                  <w14:solidFill>
                    <w14:schemeClr w14:val="tx1"/>
                  </w14:solidFill>
                </w14:textFill>
              </w:rPr>
              <w:t>的规划管理工作。</w:t>
            </w:r>
          </w:p>
          <w:p>
            <w:pPr>
              <w:ind w:firstLine="420" w:firstLineChars="200"/>
              <w:jc w:val="lef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因</w:t>
            </w:r>
            <w:r>
              <w:rPr>
                <w:rFonts w:hint="eastAsia" w:ascii="仿宋" w:hAnsi="仿宋" w:eastAsia="仿宋" w:cs="仿宋"/>
                <w:color w:val="000000" w:themeColor="text1"/>
                <w:szCs w:val="21"/>
                <w14:textFill>
                  <w14:solidFill>
                    <w14:schemeClr w14:val="tx1"/>
                  </w14:solidFill>
                </w14:textFill>
              </w:rPr>
              <w:t>此，结合国土空间规划开展实时监测、定期评估既是国家要求的“规定动作”，也是推动规划实施的关键一环</w:t>
            </w:r>
            <w:r>
              <w:rPr>
                <w:rFonts w:hint="eastAsia" w:ascii="仿宋" w:hAnsi="仿宋" w:eastAsia="仿宋" w:cs="仿宋"/>
                <w:color w:val="000000" w:themeColor="text1"/>
                <w:szCs w:val="21"/>
                <w:lang w:eastAsia="zh-CN"/>
                <w14:textFill>
                  <w14:solidFill>
                    <w14:schemeClr w14:val="tx1"/>
                  </w14:solidFill>
                </w14:textFill>
              </w:rPr>
              <w:t>及</w:t>
            </w:r>
            <w:r>
              <w:rPr>
                <w:rFonts w:hint="eastAsia" w:ascii="仿宋" w:hAnsi="仿宋" w:eastAsia="仿宋" w:cs="仿宋"/>
                <w:color w:val="000000" w:themeColor="text1"/>
                <w:szCs w:val="21"/>
                <w14:textFill>
                  <w14:solidFill>
                    <w14:schemeClr w14:val="tx1"/>
                  </w14:solidFill>
                </w14:textFill>
              </w:rPr>
              <w:t>保障城市健康运行的重要</w:t>
            </w:r>
            <w:r>
              <w:rPr>
                <w:rFonts w:hint="eastAsia" w:ascii="仿宋" w:hAnsi="仿宋" w:eastAsia="仿宋" w:cs="仿宋"/>
                <w:color w:val="000000" w:themeColor="text1"/>
                <w:szCs w:val="21"/>
                <w:lang w:eastAsia="zh-CN"/>
                <w14:textFill>
                  <w14:solidFill>
                    <w14:schemeClr w14:val="tx1"/>
                  </w14:solidFill>
                </w14:textFill>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项目前期设计、规划论证单位</w:t>
            </w:r>
          </w:p>
        </w:tc>
        <w:tc>
          <w:tcPr>
            <w:tcW w:w="7407" w:type="dxa"/>
            <w:gridSpan w:val="4"/>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投标人资质要求</w:t>
            </w:r>
          </w:p>
        </w:tc>
        <w:tc>
          <w:tcPr>
            <w:tcW w:w="7407" w:type="dxa"/>
            <w:gridSpan w:val="4"/>
          </w:tcPr>
          <w:p>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1）具有独立法人资格；</w:t>
            </w:r>
          </w:p>
          <w:p>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2）本项目不接受联合体投标，不允许分包。</w:t>
            </w:r>
          </w:p>
          <w:p>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3）落实政府采购政策需满足的资格要求：非专门面向中小企业采购的项目。</w:t>
            </w:r>
          </w:p>
          <w:p>
            <w:pPr>
              <w:jc w:val="lef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4</w:t>
            </w:r>
            <w:r>
              <w:rPr>
                <w:rFonts w:hint="eastAsia" w:ascii="仿宋" w:hAnsi="仿宋" w:eastAsia="仿宋" w:cs="仿宋"/>
                <w:color w:val="000000" w:themeColor="text1"/>
                <w:kern w:val="0"/>
                <w:szCs w:val="21"/>
                <w14:textFill>
                  <w14:solidFill>
                    <w14:schemeClr w14:val="tx1"/>
                  </w14:solidFill>
                </w14:textFill>
              </w:rPr>
              <w:t>）具备《中华人民共和国政府采购法》第二十二条第一款的条件（由供应商在《政府采购投标及履约承诺函》中作出声明）。</w:t>
            </w:r>
          </w:p>
          <w:p>
            <w:pPr>
              <w:jc w:val="lef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5</w:t>
            </w:r>
            <w:r>
              <w:rPr>
                <w:rFonts w:hint="eastAsia" w:ascii="仿宋" w:hAnsi="仿宋" w:eastAsia="仿宋" w:cs="仿宋"/>
                <w:color w:val="000000" w:themeColor="text1"/>
                <w:kern w:val="0"/>
                <w:szCs w:val="21"/>
                <w14:textFill>
                  <w14:solidFill>
                    <w14:schemeClr w14:val="tx1"/>
                  </w14:solidFill>
                </w14:textFill>
              </w:rPr>
              <w:t>）参与本项目投标前三年内，在经营活动中没有违法记录（由供应商在《政府采购投标及履约承诺函》中作出声明）。</w:t>
            </w:r>
          </w:p>
          <w:p>
            <w:pPr>
              <w:jc w:val="lef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6</w:t>
            </w:r>
            <w:r>
              <w:rPr>
                <w:rFonts w:hint="eastAsia" w:ascii="仿宋" w:hAnsi="仿宋" w:eastAsia="仿宋" w:cs="仿宋"/>
                <w:color w:val="000000" w:themeColor="text1"/>
                <w:kern w:val="0"/>
                <w:szCs w:val="21"/>
                <w14:textFill>
                  <w14:solidFill>
                    <w14:schemeClr w14:val="tx1"/>
                  </w14:solidFill>
                </w14:textFill>
              </w:rPr>
              <w:t>）参与本项目政府采购活动时不存在被有关部门禁止参与政府采购活动且在有效期内的情况（由供应商在《政府采购投标及履约承诺函》中作出声明）。</w:t>
            </w:r>
          </w:p>
          <w:p>
            <w:pPr>
              <w:jc w:val="lef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7</w:t>
            </w:r>
            <w:r>
              <w:rPr>
                <w:rFonts w:hint="eastAsia" w:ascii="仿宋" w:hAnsi="仿宋" w:eastAsia="仿宋" w:cs="仿宋"/>
                <w:color w:val="000000" w:themeColor="text1"/>
                <w:kern w:val="0"/>
                <w:szCs w:val="21"/>
                <w14:textFill>
                  <w14:solidFill>
                    <w14:schemeClr w14:val="tx1"/>
                  </w14:solidFill>
                </w14:textFill>
              </w:rPr>
              <w:t>）未被列入失信被执行人、税收违法案件当事人名单、政府采购严重违法失信行为记录名单（由供应商在《政府采购投标及履约承诺函》中作出声明）。</w:t>
            </w:r>
          </w:p>
          <w:p>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注：“信用中国”、“中国政府采购网”以及“深圳市政府采购监管网”为供应商信用信息的查询渠道，相关信息以开标当日的查询结果为准。</w:t>
            </w:r>
          </w:p>
          <w:p>
            <w:pPr>
              <w:jc w:val="lef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8</w:t>
            </w:r>
            <w:r>
              <w:rPr>
                <w:rFonts w:hint="eastAsia" w:ascii="仿宋" w:hAnsi="仿宋" w:eastAsia="仿宋" w:cs="仿宋"/>
                <w:color w:val="000000" w:themeColor="text1"/>
                <w:kern w:val="0"/>
                <w:szCs w:val="21"/>
                <w14:textFill>
                  <w14:solidFill>
                    <w14:schemeClr w14:val="tx1"/>
                  </w14:solidFill>
                </w14:textFill>
              </w:rPr>
              <w:t>）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vAlign w:val="center"/>
          </w:tcPr>
          <w:p>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需求内容</w:t>
            </w:r>
          </w:p>
        </w:tc>
        <w:tc>
          <w:tcPr>
            <w:tcW w:w="7407" w:type="dxa"/>
            <w:gridSpan w:val="4"/>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*1、报价要求</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jc w:val="left"/>
              <w:rPr>
                <w:rFonts w:hint="default" w:ascii="仿宋" w:hAnsi="仿宋" w:eastAsia="仿宋" w:cs="仿宋"/>
                <w:color w:val="000000" w:themeColor="text1"/>
                <w:szCs w:val="21"/>
                <w:lang w:val="en"/>
                <w14:textFill>
                  <w14:solidFill>
                    <w14:schemeClr w14:val="tx1"/>
                  </w14:solidFill>
                </w14:textFill>
              </w:rPr>
            </w:pPr>
            <w:r>
              <w:rPr>
                <w:rFonts w:hint="default" w:ascii="仿宋" w:hAnsi="仿宋" w:eastAsia="仿宋" w:cs="仿宋"/>
                <w:color w:val="000000" w:themeColor="text1"/>
                <w:szCs w:val="21"/>
                <w:lang w:val="en"/>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）本项目招标预算价为</w:t>
            </w:r>
            <w:r>
              <w:rPr>
                <w:rFonts w:ascii="仿宋" w:hAnsi="仿宋" w:eastAsia="仿宋" w:cs="仿宋"/>
                <w:color w:val="000000" w:themeColor="text1"/>
                <w:szCs w:val="21"/>
                <w14:textFill>
                  <w14:solidFill>
                    <w14:schemeClr w14:val="tx1"/>
                  </w14:solidFill>
                </w14:textFill>
              </w:rPr>
              <w:t>161</w:t>
            </w:r>
            <w:r>
              <w:rPr>
                <w:rFonts w:hint="eastAsia" w:ascii="仿宋" w:hAnsi="仿宋" w:eastAsia="仿宋" w:cs="仿宋"/>
                <w:color w:val="000000" w:themeColor="text1"/>
                <w:szCs w:val="21"/>
                <w14:textFill>
                  <w14:solidFill>
                    <w14:schemeClr w14:val="tx1"/>
                  </w14:solidFill>
                </w14:textFill>
              </w:rPr>
              <w:t>万元（大写：壹佰陆拾壹万元），投标报价不得超过项目预算价</w:t>
            </w:r>
            <w:r>
              <w:rPr>
                <w:rFonts w:ascii="仿宋" w:hAnsi="仿宋" w:eastAsia="仿宋" w:cs="仿宋"/>
                <w:color w:val="000000" w:themeColor="text1"/>
                <w:szCs w:val="21"/>
                <w14:textFill>
                  <w14:solidFill>
                    <w14:schemeClr w14:val="tx1"/>
                  </w14:solidFill>
                </w14:textFill>
              </w:rPr>
              <w:t>161</w:t>
            </w:r>
            <w:r>
              <w:rPr>
                <w:rFonts w:hint="eastAsia" w:ascii="仿宋" w:hAnsi="仿宋" w:eastAsia="仿宋" w:cs="仿宋"/>
                <w:color w:val="000000" w:themeColor="text1"/>
                <w:szCs w:val="21"/>
                <w14:textFill>
                  <w14:solidFill>
                    <w14:schemeClr w14:val="tx1"/>
                  </w14:solidFill>
                </w14:textFill>
              </w:rPr>
              <w:t>万元的90%，即最高限价为</w:t>
            </w:r>
            <w:r>
              <w:rPr>
                <w:rFonts w:ascii="仿宋" w:hAnsi="仿宋" w:eastAsia="仿宋" w:cs="仿宋"/>
                <w:color w:val="000000" w:themeColor="text1"/>
                <w:szCs w:val="21"/>
                <w14:textFill>
                  <w14:solidFill>
                    <w14:schemeClr w14:val="tx1"/>
                  </w14:solidFill>
                </w14:textFill>
              </w:rPr>
              <w:t>144.9</w:t>
            </w:r>
            <w:r>
              <w:rPr>
                <w:rFonts w:hint="eastAsia" w:ascii="仿宋" w:hAnsi="仿宋" w:eastAsia="仿宋" w:cs="仿宋"/>
                <w:color w:val="000000" w:themeColor="text1"/>
                <w:szCs w:val="21"/>
                <w14:textFill>
                  <w14:solidFill>
                    <w14:schemeClr w14:val="tx1"/>
                  </w14:solidFill>
                </w14:textFill>
              </w:rPr>
              <w:t>万元。</w:t>
            </w:r>
          </w:p>
          <w:p>
            <w:pPr>
              <w:jc w:val="left"/>
              <w:rPr>
                <w:rFonts w:ascii="仿宋" w:hAnsi="仿宋" w:eastAsia="仿宋" w:cs="仿宋"/>
                <w:color w:val="000000" w:themeColor="text1"/>
                <w:szCs w:val="21"/>
                <w14:textFill>
                  <w14:solidFill>
                    <w14:schemeClr w14:val="tx1"/>
                  </w14:solidFill>
                </w14:textFill>
              </w:rPr>
            </w:pPr>
            <w:r>
              <w:rPr>
                <w:rFonts w:hint="default" w:ascii="仿宋" w:hAnsi="仿宋" w:eastAsia="仿宋" w:cs="仿宋"/>
                <w:color w:val="000000" w:themeColor="text1"/>
                <w:szCs w:val="21"/>
                <w:lang w:val="en"/>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）投标单位提供报价详细清单。</w:t>
            </w:r>
          </w:p>
          <w:p>
            <w:pPr>
              <w:jc w:val="left"/>
              <w:rPr>
                <w:rFonts w:ascii="仿宋" w:hAnsi="仿宋" w:eastAsia="仿宋" w:cs="仿宋"/>
                <w:color w:val="000000" w:themeColor="text1"/>
                <w:szCs w:val="21"/>
                <w14:textFill>
                  <w14:solidFill>
                    <w14:schemeClr w14:val="tx1"/>
                  </w14:solidFill>
                </w14:textFill>
              </w:rPr>
            </w:pPr>
            <w:r>
              <w:rPr>
                <w:rFonts w:hint="default" w:ascii="仿宋" w:hAnsi="仿宋" w:eastAsia="仿宋" w:cs="仿宋"/>
                <w:color w:val="000000" w:themeColor="text1"/>
                <w:szCs w:val="21"/>
                <w:lang w:val="en"/>
                <w14:textFill>
                  <w14:solidFill>
                    <w14:schemeClr w14:val="tx1"/>
                  </w14:solidFill>
                </w14:textFill>
              </w:rPr>
              <w:t>5</w:t>
            </w:r>
            <w:r>
              <w:rPr>
                <w:rFonts w:hint="eastAsia" w:ascii="仿宋" w:hAnsi="仿宋" w:eastAsia="仿宋" w:cs="仿宋"/>
                <w:color w:val="000000" w:themeColor="text1"/>
                <w:szCs w:val="21"/>
                <w14:textFill>
                  <w14:solidFill>
                    <w14:schemeClr w14:val="tx1"/>
                  </w14:solidFill>
                </w14:textFill>
              </w:rPr>
              <w:t>）在合同实施期间，服务费用不随国家政策或法规、标准及市场因素的变化而进行调整。</w:t>
            </w:r>
          </w:p>
          <w:p>
            <w:pPr>
              <w:jc w:val="left"/>
              <w:rPr>
                <w:rFonts w:ascii="仿宋" w:hAnsi="仿宋" w:eastAsia="仿宋" w:cs="仿宋"/>
                <w:color w:val="000000" w:themeColor="text1"/>
                <w:szCs w:val="21"/>
                <w14:textFill>
                  <w14:solidFill>
                    <w14:schemeClr w14:val="tx1"/>
                  </w14:solidFill>
                </w14:textFill>
              </w:rPr>
            </w:pPr>
            <w:r>
              <w:rPr>
                <w:rFonts w:hint="default" w:ascii="仿宋" w:hAnsi="仿宋" w:eastAsia="仿宋" w:cs="仿宋"/>
                <w:color w:val="000000" w:themeColor="text1"/>
                <w:szCs w:val="21"/>
                <w:lang w:val="en"/>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jc w:val="left"/>
              <w:rPr>
                <w:rFonts w:ascii="仿宋" w:hAnsi="仿宋" w:eastAsia="仿宋" w:cs="仿宋"/>
                <w:color w:val="000000" w:themeColor="text1"/>
                <w:szCs w:val="21"/>
                <w14:textFill>
                  <w14:solidFill>
                    <w14:schemeClr w14:val="tx1"/>
                  </w14:solidFill>
                </w14:textFill>
              </w:rPr>
            </w:pPr>
            <w:r>
              <w:rPr>
                <w:rFonts w:hint="default" w:ascii="仿宋" w:hAnsi="仿宋" w:eastAsia="仿宋" w:cs="仿宋"/>
                <w:color w:val="000000" w:themeColor="text1"/>
                <w:szCs w:val="21"/>
                <w:lang w:val="en"/>
                <w14:textFill>
                  <w14:solidFill>
                    <w14:schemeClr w14:val="tx1"/>
                  </w14:solidFill>
                </w14:textFill>
              </w:rPr>
              <w:t>7</w:t>
            </w:r>
            <w:r>
              <w:rPr>
                <w:rFonts w:hint="eastAsia" w:ascii="仿宋" w:hAnsi="仿宋" w:eastAsia="仿宋" w:cs="仿宋"/>
                <w:color w:val="000000" w:themeColor="text1"/>
                <w:szCs w:val="21"/>
                <w14:textFill>
                  <w14:solidFill>
                    <w14:schemeClr w14:val="tx1"/>
                  </w14:solidFill>
                </w14:textFill>
              </w:rPr>
              <w:t>）例外地按招标文件所列的清单中项目和数量填报综合单价或总价。投标人未填综合单价或总价的项目，在实施后，将不得以支付，并视作该项费用已包括在其它有价款的综合单价或总价内。</w:t>
            </w:r>
          </w:p>
          <w:p>
            <w:pPr>
              <w:jc w:val="left"/>
              <w:rPr>
                <w:rFonts w:ascii="仿宋" w:hAnsi="仿宋" w:eastAsia="仿宋" w:cs="仿宋"/>
                <w:color w:val="000000" w:themeColor="text1"/>
                <w:szCs w:val="21"/>
                <w14:textFill>
                  <w14:solidFill>
                    <w14:schemeClr w14:val="tx1"/>
                  </w14:solidFill>
                </w14:textFill>
              </w:rPr>
            </w:pPr>
            <w:r>
              <w:rPr>
                <w:rFonts w:hint="default" w:ascii="仿宋" w:hAnsi="仿宋" w:eastAsia="仿宋" w:cs="仿宋"/>
                <w:color w:val="000000" w:themeColor="text1"/>
                <w:szCs w:val="21"/>
                <w:lang w:val="en"/>
                <w14:textFill>
                  <w14:solidFill>
                    <w14:schemeClr w14:val="tx1"/>
                  </w14:solidFill>
                </w14:textFill>
              </w:rPr>
              <w:t>8</w:t>
            </w:r>
            <w:r>
              <w:rPr>
                <w:rFonts w:hint="eastAsia" w:ascii="仿宋" w:hAnsi="仿宋" w:eastAsia="仿宋" w:cs="仿宋"/>
                <w:color w:val="000000" w:themeColor="text1"/>
                <w:szCs w:val="21"/>
                <w14:textFill>
                  <w14:solidFill>
                    <w14:schemeClr w14:val="tx1"/>
                  </w14:solidFill>
                </w14:textFill>
              </w:rPr>
              <w:t>）投标人应充分了解项目的位置、情况、道路及任何其它足以影响投标报价的情况，任何因忽视或误解项目情况而导致的索赔或服务期限延长申请将不获批准。</w:t>
            </w:r>
          </w:p>
          <w:p>
            <w:pPr>
              <w:jc w:val="left"/>
              <w:rPr>
                <w:rFonts w:ascii="仿宋" w:hAnsi="仿宋" w:eastAsia="仿宋" w:cs="仿宋"/>
                <w:color w:val="000000" w:themeColor="text1"/>
                <w:szCs w:val="21"/>
                <w14:textFill>
                  <w14:solidFill>
                    <w14:schemeClr w14:val="tx1"/>
                  </w14:solidFill>
                </w14:textFill>
              </w:rPr>
            </w:pPr>
            <w:r>
              <w:rPr>
                <w:rFonts w:hint="default" w:ascii="仿宋" w:hAnsi="仿宋" w:eastAsia="仿宋" w:cs="仿宋"/>
                <w:color w:val="000000" w:themeColor="text1"/>
                <w:szCs w:val="21"/>
                <w:lang w:val="en"/>
                <w14:textFill>
                  <w14:solidFill>
                    <w14:schemeClr w14:val="tx1"/>
                  </w14:solidFill>
                </w14:textFill>
              </w:rPr>
              <w:t>9</w:t>
            </w:r>
            <w:bookmarkStart w:id="0" w:name="_GoBack"/>
            <w:bookmarkEnd w:id="0"/>
            <w:r>
              <w:rPr>
                <w:rFonts w:hint="eastAsia" w:ascii="仿宋" w:hAnsi="仿宋" w:eastAsia="仿宋" w:cs="仿宋"/>
                <w:color w:val="000000" w:themeColor="text1"/>
                <w:szCs w:val="21"/>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）投标人不得期望通过索赔等方式获取补偿，否则，除可能遭到拒绝外，还可能将被作为不良行为记录在案，并可能影响其以后参加政府采购的项目投标。各投标人在投标报价时，应充分考虑投标报价的风险。</w:t>
            </w:r>
          </w:p>
          <w:p>
            <w:pPr>
              <w:jc w:val="left"/>
              <w:rPr>
                <w:rFonts w:ascii="仿宋" w:hAnsi="仿宋" w:eastAsia="仿宋" w:cs="仿宋"/>
                <w:b/>
                <w:bCs/>
                <w:szCs w:val="21"/>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
                <w:bCs/>
                <w:color w:val="000000" w:themeColor="text1"/>
                <w:szCs w:val="21"/>
                <w14:textFill>
                  <w14:solidFill>
                    <w14:schemeClr w14:val="tx1"/>
                  </w14:solidFill>
                </w14:textFill>
              </w:rPr>
              <w:t>2、</w:t>
            </w:r>
            <w:r>
              <w:rPr>
                <w:rFonts w:hint="eastAsia" w:ascii="仿宋" w:hAnsi="仿宋" w:eastAsia="仿宋" w:cs="仿宋"/>
                <w:b/>
                <w:bCs/>
                <w:szCs w:val="21"/>
              </w:rPr>
              <w:t>付款方式</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本项目分三期支付合同款。</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首期款：自双方签订合同之日起20个工作日内，乙方提交工作方案</w:t>
            </w:r>
            <w:r>
              <w:rPr>
                <w:rFonts w:hint="default" w:ascii="仿宋" w:hAnsi="仿宋" w:eastAsia="仿宋" w:cs="仿宋"/>
                <w:color w:val="000000" w:themeColor="text1"/>
                <w:szCs w:val="21"/>
                <w:lang w:val="en"/>
                <w14:textFill>
                  <w14:solidFill>
                    <w14:schemeClr w14:val="tx1"/>
                  </w14:solidFill>
                </w14:textFill>
              </w:rPr>
              <w:t>经甲方确认，根据乙方提交的</w:t>
            </w:r>
            <w:r>
              <w:rPr>
                <w:rFonts w:hint="eastAsia" w:ascii="仿宋" w:hAnsi="仿宋" w:eastAsia="仿宋" w:cs="仿宋"/>
                <w:color w:val="000000" w:themeColor="text1"/>
                <w:szCs w:val="21"/>
                <w14:textFill>
                  <w14:solidFill>
                    <w14:schemeClr w14:val="tx1"/>
                  </w14:solidFill>
                </w14:textFill>
              </w:rPr>
              <w:t>付款申请，甲方按照合同要求支付乙方合同总价款的</w:t>
            </w:r>
            <w:r>
              <w:rPr>
                <w:rFonts w:ascii="仿宋" w:hAnsi="仿宋" w:eastAsia="仿宋" w:cs="仿宋"/>
                <w:color w:val="000000" w:themeColor="text1"/>
                <w:szCs w:val="21"/>
                <w14:textFill>
                  <w14:solidFill>
                    <w14:schemeClr w14:val="tx1"/>
                  </w14:solidFill>
                </w14:textFill>
              </w:rPr>
              <w:t>30</w:t>
            </w:r>
            <w:r>
              <w:rPr>
                <w:rFonts w:hint="eastAsia" w:ascii="仿宋" w:hAnsi="仿宋" w:eastAsia="仿宋" w:cs="仿宋"/>
                <w:color w:val="000000" w:themeColor="text1"/>
                <w:szCs w:val="21"/>
                <w14:textFill>
                  <w14:solidFill>
                    <w14:schemeClr w14:val="tx1"/>
                  </w14:solidFill>
                </w14:textFill>
              </w:rPr>
              <w:t>%；</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二期款：乙方提交完成本初步成果，经采购方处室审查合格后20个工作日内支付，甲方按照合同要求支付乙方合同总价款的3</w:t>
            </w:r>
            <w:r>
              <w:rPr>
                <w:rFonts w:ascii="仿宋" w:hAnsi="仿宋" w:eastAsia="仿宋" w:cs="仿宋"/>
                <w:color w:val="000000" w:themeColor="text1"/>
                <w:szCs w:val="21"/>
                <w14:textFill>
                  <w14:solidFill>
                    <w14:schemeClr w14:val="tx1"/>
                  </w14:solidFill>
                </w14:textFill>
              </w:rPr>
              <w:t>0</w:t>
            </w:r>
            <w:r>
              <w:rPr>
                <w:rFonts w:hint="eastAsia" w:ascii="仿宋" w:hAnsi="仿宋" w:eastAsia="仿宋" w:cs="仿宋"/>
                <w:color w:val="000000" w:themeColor="text1"/>
                <w:szCs w:val="21"/>
                <w14:textFill>
                  <w14:solidFill>
                    <w14:schemeClr w14:val="tx1"/>
                  </w14:solidFill>
                </w14:textFill>
              </w:rPr>
              <w:t>%；</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尾款：乙方提交完成本项目全部成果，并通过甲方成果验收后20个工作日内，甲方按照合同要求支付乙方合同总价款的</w:t>
            </w:r>
            <w:r>
              <w:rPr>
                <w:rFonts w:ascii="仿宋" w:hAnsi="仿宋" w:eastAsia="仿宋" w:cs="仿宋"/>
                <w:color w:val="000000" w:themeColor="text1"/>
                <w:szCs w:val="21"/>
                <w14:textFill>
                  <w14:solidFill>
                    <w14:schemeClr w14:val="tx1"/>
                  </w14:solidFill>
                </w14:textFill>
              </w:rPr>
              <w:t>40</w:t>
            </w:r>
            <w:r>
              <w:rPr>
                <w:rFonts w:hint="eastAsia" w:ascii="仿宋" w:hAnsi="仿宋" w:eastAsia="仿宋" w:cs="仿宋"/>
                <w:color w:val="000000" w:themeColor="text1"/>
                <w:szCs w:val="21"/>
                <w14:textFill>
                  <w14:solidFill>
                    <w14:schemeClr w14:val="tx1"/>
                  </w14:solidFill>
                </w14:textFill>
              </w:rPr>
              <w:t>%。</w:t>
            </w:r>
          </w:p>
          <w:p>
            <w:pPr>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
                <w:bCs/>
                <w:color w:val="000000" w:themeColor="text1"/>
                <w:szCs w:val="21"/>
                <w14:textFill>
                  <w14:solidFill>
                    <w14:schemeClr w14:val="tx1"/>
                  </w14:solidFill>
                </w14:textFill>
              </w:rPr>
              <w:t>3、履约保证金</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履约保证金占合同金额的</w:t>
            </w:r>
            <w:r>
              <w:rPr>
                <w:rFonts w:hint="eastAsia" w:ascii="仿宋" w:hAnsi="仿宋" w:eastAsia="仿宋" w:cs="仿宋"/>
                <w:color w:val="000000" w:themeColor="text1"/>
                <w:szCs w:val="21"/>
                <w:u w:val="single"/>
                <w14:textFill>
                  <w14:solidFill>
                    <w14:schemeClr w14:val="tx1"/>
                  </w14:solidFill>
                </w14:textFill>
              </w:rPr>
              <w:t>0</w:t>
            </w:r>
            <w:r>
              <w:rPr>
                <w:rFonts w:hint="eastAsia" w:ascii="仿宋" w:hAnsi="仿宋" w:eastAsia="仿宋" w:cs="仿宋"/>
                <w:color w:val="000000" w:themeColor="text1"/>
                <w:szCs w:val="21"/>
                <w14:textFill>
                  <w14:solidFill>
                    <w14:schemeClr w14:val="tx1"/>
                  </w14:solidFill>
                </w14:textFill>
              </w:rPr>
              <w:t>%。</w:t>
            </w:r>
          </w:p>
          <w:p>
            <w:pPr>
              <w:jc w:val="left"/>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b/>
                <w:bCs/>
                <w:szCs w:val="21"/>
              </w:rPr>
              <w:t>4、违约责任（以最终合同为准）</w:t>
            </w:r>
          </w:p>
          <w:p>
            <w:pPr>
              <w:jc w:val="left"/>
              <w:rPr>
                <w:rFonts w:ascii="仿宋" w:hAnsi="仿宋" w:eastAsia="仿宋" w:cs="仿宋"/>
                <w:szCs w:val="21"/>
              </w:rPr>
            </w:pPr>
            <w:r>
              <w:rPr>
                <w:rFonts w:hint="eastAsia" w:ascii="仿宋" w:hAnsi="仿宋" w:eastAsia="仿宋" w:cs="仿宋"/>
                <w:szCs w:val="21"/>
              </w:rPr>
              <w:t>4.1乙方的责任</w:t>
            </w:r>
          </w:p>
          <w:p>
            <w:pPr>
              <w:jc w:val="left"/>
              <w:rPr>
                <w:rFonts w:ascii="仿宋" w:hAnsi="仿宋" w:eastAsia="仿宋" w:cs="仿宋"/>
                <w:szCs w:val="21"/>
              </w:rPr>
            </w:pPr>
            <w:r>
              <w:rPr>
                <w:rFonts w:hint="eastAsia" w:ascii="仿宋" w:hAnsi="仿宋" w:eastAsia="仿宋" w:cs="仿宋"/>
                <w:szCs w:val="21"/>
              </w:rPr>
              <w:t>（1）合同签订后，如乙方擅自中途终止或解除合同，乙方向甲方赔偿合同总价款的 5 %，人民币</w:t>
            </w:r>
            <w:r>
              <w:rPr>
                <w:rFonts w:hint="eastAsia" w:ascii="仿宋" w:hAnsi="仿宋" w:eastAsia="仿宋" w:cs="仿宋"/>
                <w:szCs w:val="21"/>
                <w:u w:val="single"/>
              </w:rPr>
              <w:t xml:space="preserve">   </w:t>
            </w:r>
            <w:r>
              <w:rPr>
                <w:rFonts w:hint="eastAsia" w:ascii="仿宋" w:hAnsi="仿宋" w:eastAsia="仿宋" w:cs="仿宋"/>
                <w:szCs w:val="21"/>
              </w:rPr>
              <w:t>元，并归还甲方预付的全部项目款。</w:t>
            </w:r>
          </w:p>
          <w:p>
            <w:pPr>
              <w:jc w:val="left"/>
              <w:rPr>
                <w:rFonts w:ascii="仿宋" w:hAnsi="仿宋" w:eastAsia="仿宋" w:cs="仿宋"/>
                <w:szCs w:val="21"/>
              </w:rPr>
            </w:pPr>
            <w:r>
              <w:rPr>
                <w:rFonts w:hint="eastAsia" w:ascii="仿宋" w:hAnsi="仿宋" w:eastAsia="仿宋" w:cs="仿宋"/>
                <w:szCs w:val="21"/>
              </w:rPr>
              <w:t>（2）未经甲方许可，乙方将本合同项目与第三方合作，或将本合同标的的全部或部分擅自转包给第三方的，甲方有权要求乙方终止与第三方的合同。乙方应承担因此而产生的相关责任，并应向甲方支付本合同总价款的 5 %的违约金。</w:t>
            </w:r>
          </w:p>
          <w:p>
            <w:pPr>
              <w:jc w:val="left"/>
              <w:rPr>
                <w:rFonts w:ascii="仿宋" w:hAnsi="仿宋" w:eastAsia="仿宋" w:cs="仿宋"/>
                <w:szCs w:val="21"/>
              </w:rPr>
            </w:pPr>
            <w:r>
              <w:rPr>
                <w:rFonts w:hint="eastAsia" w:ascii="仿宋" w:hAnsi="仿宋" w:eastAsia="仿宋" w:cs="仿宋"/>
                <w:szCs w:val="21"/>
              </w:rPr>
              <w:t>（3）如乙方因自身原因不能履行合同义务或无法按照本合同的约定提供服务，甲方有权终止合同，损失由乙方承担，乙方应向甲方支付本合同总价款的5  %的违约金，同时要求乙方退回全部已收合同款项。</w:t>
            </w:r>
          </w:p>
          <w:p>
            <w:pPr>
              <w:jc w:val="left"/>
              <w:rPr>
                <w:rFonts w:ascii="仿宋" w:hAnsi="仿宋" w:eastAsia="仿宋" w:cs="仿宋"/>
                <w:szCs w:val="21"/>
              </w:rPr>
            </w:pPr>
            <w:r>
              <w:rPr>
                <w:rFonts w:hint="eastAsia" w:ascii="仿宋" w:hAnsi="仿宋" w:eastAsia="仿宋" w:cs="仿宋"/>
                <w:szCs w:val="21"/>
              </w:rPr>
              <w:t>（4）乙方无正当理由不按照本合同的约定提供服务或者违反规定的义务，甲方有权要求乙方退还部分或者全部已付的合同款项，并应向甲方支付本合同总价款的0.5%的违约金。</w:t>
            </w:r>
          </w:p>
          <w:p>
            <w:pPr>
              <w:jc w:val="left"/>
              <w:rPr>
                <w:rFonts w:ascii="仿宋" w:hAnsi="仿宋" w:eastAsia="仿宋" w:cs="仿宋"/>
                <w:szCs w:val="21"/>
              </w:rPr>
            </w:pPr>
            <w:r>
              <w:rPr>
                <w:rFonts w:hint="eastAsia" w:ascii="仿宋" w:hAnsi="仿宋" w:eastAsia="仿宋" w:cs="仿宋"/>
                <w:szCs w:val="21"/>
              </w:rPr>
              <w:t>（5）本合同履行期间，乙方因自身原因未能按合同约定的日期(含协商延缓的日期)提交项目成果和造成验收时间延后，检测、验收中的产品更改费由乙方承担。给甲方造成损失的，损害由乙方承担，每逾期一天须支付给甲方合同总价款的0.5‰作为违约金，逾期违约金总额不超过合同总价款的10 %。</w:t>
            </w:r>
          </w:p>
          <w:p>
            <w:pPr>
              <w:jc w:val="left"/>
              <w:rPr>
                <w:rFonts w:ascii="仿宋" w:hAnsi="仿宋" w:eastAsia="仿宋" w:cs="仿宋"/>
                <w:szCs w:val="21"/>
              </w:rPr>
            </w:pPr>
            <w:r>
              <w:rPr>
                <w:rFonts w:hint="eastAsia" w:ascii="仿宋" w:hAnsi="仿宋" w:eastAsia="仿宋" w:cs="仿宋"/>
                <w:szCs w:val="21"/>
              </w:rPr>
              <w:t>（6）由于乙方工作的错误或遗漏造成项目成果验收不合格的，甲方给予乙方一定的宽限期，乙方应在宽限期内无偿予以重新开展工作或采取补救措施，以达到质量要求，且应免收受损失部分的合同价款，并支付合同总价款_5_%的违约金。如甲方提出异议后乙方不作答复或者无理由推脱的或乙方无法在宽限期内完成整改的，甲方有权终止合同，损失由乙方承担，乙方须退回合同全额费用，并要求乙方支付合同总价款   %的违约金。因项目成果不符合合同要求给甲方造成损失的，乙方应负全部责任。</w:t>
            </w:r>
          </w:p>
          <w:p>
            <w:pPr>
              <w:jc w:val="left"/>
              <w:rPr>
                <w:rFonts w:ascii="仿宋" w:hAnsi="仿宋" w:eastAsia="仿宋" w:cs="仿宋"/>
                <w:szCs w:val="21"/>
              </w:rPr>
            </w:pPr>
            <w:r>
              <w:rPr>
                <w:rFonts w:hint="eastAsia" w:ascii="仿宋" w:hAnsi="仿宋" w:eastAsia="仿宋" w:cs="仿宋"/>
                <w:szCs w:val="21"/>
              </w:rPr>
              <w:t>（7）乙方未按本合同的约定，擅自修改已经提交验收的成果文件的，应承担因此产生的一切后果，并赔偿甲方合同总价款5  %的违约金。</w:t>
            </w:r>
          </w:p>
          <w:p>
            <w:pPr>
              <w:jc w:val="left"/>
              <w:rPr>
                <w:rFonts w:ascii="仿宋" w:hAnsi="仿宋" w:eastAsia="仿宋" w:cs="仿宋"/>
                <w:szCs w:val="21"/>
              </w:rPr>
            </w:pPr>
            <w:r>
              <w:rPr>
                <w:rFonts w:hint="eastAsia" w:ascii="仿宋" w:hAnsi="仿宋" w:eastAsia="仿宋" w:cs="仿宋"/>
                <w:szCs w:val="21"/>
              </w:rPr>
              <w:t>（8）乙方组织的项目组成员不符合本合同约定的工作内容和技术要求，或未经甲方同意，乙方擅自变更约定的项目组主要成员，甲方有权责成乙方采取补救措施或调整项目组主要成员构成。</w:t>
            </w:r>
          </w:p>
          <w:p>
            <w:pPr>
              <w:jc w:val="left"/>
              <w:rPr>
                <w:rFonts w:ascii="仿宋" w:hAnsi="仿宋" w:eastAsia="仿宋" w:cs="仿宋"/>
                <w:szCs w:val="21"/>
              </w:rPr>
            </w:pPr>
            <w:r>
              <w:rPr>
                <w:rFonts w:hint="eastAsia" w:ascii="仿宋" w:hAnsi="仿宋" w:eastAsia="仿宋" w:cs="仿宋"/>
                <w:szCs w:val="21"/>
              </w:rPr>
              <w:t>（9）本项目最终成果验收后  1年以内，乙方未按甲方要求就本项目提供必要解释和接受咨询的，甲方可要求乙方承担合同总价款_5__%的违约金，上述违约金可以在支付合同款项时优先予以扣除。</w:t>
            </w:r>
          </w:p>
          <w:p>
            <w:pPr>
              <w:jc w:val="left"/>
              <w:rPr>
                <w:rFonts w:ascii="仿宋" w:hAnsi="仿宋" w:eastAsia="仿宋" w:cs="仿宋"/>
                <w:szCs w:val="21"/>
              </w:rPr>
            </w:pPr>
            <w:r>
              <w:rPr>
                <w:rFonts w:hint="eastAsia" w:ascii="仿宋" w:hAnsi="仿宋" w:eastAsia="仿宋" w:cs="仿宋"/>
                <w:szCs w:val="21"/>
              </w:rPr>
              <w:t>（10）合同履行期间，乙方承担第三方委托的本项目范围内有利益冲突的其他项目，一经发现，无论合同正在履行或已履行完毕，甲方均有权追究乙方责任，并要求乙方支付合同总价款 5 %的违约金。</w:t>
            </w:r>
          </w:p>
          <w:p>
            <w:pPr>
              <w:jc w:val="left"/>
              <w:rPr>
                <w:rFonts w:ascii="仿宋" w:hAnsi="仿宋" w:eastAsia="仿宋" w:cs="仿宋"/>
                <w:szCs w:val="21"/>
              </w:rPr>
            </w:pPr>
            <w:r>
              <w:rPr>
                <w:rFonts w:hint="eastAsia" w:ascii="仿宋" w:hAnsi="仿宋" w:eastAsia="仿宋" w:cs="仿宋"/>
                <w:szCs w:val="21"/>
              </w:rPr>
              <w:t>（11）如乙方提交的服务成果侵犯第三方合法权益的，一切法律责任均由乙方承担，同时乙方保证甲方在第三方主张权益时免受损失，并赔偿甲方合同总价款10%的违约金。</w:t>
            </w:r>
          </w:p>
          <w:p>
            <w:pPr>
              <w:jc w:val="left"/>
              <w:rPr>
                <w:rFonts w:ascii="仿宋" w:hAnsi="仿宋" w:eastAsia="仿宋" w:cs="仿宋"/>
                <w:szCs w:val="21"/>
              </w:rPr>
            </w:pPr>
            <w:r>
              <w:rPr>
                <w:rFonts w:hint="eastAsia" w:ascii="仿宋" w:hAnsi="仿宋" w:eastAsia="仿宋" w:cs="仿宋"/>
                <w:szCs w:val="21"/>
              </w:rPr>
              <w:t>（12）乙方因过错导致甲方蒙受重大经济损失，乙方应当承担赔偿责任。</w:t>
            </w:r>
          </w:p>
          <w:p>
            <w:pPr>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5.服务质量监督要求</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1）售后服务期限从最终成果验收程序后 1 年以内，乙方应配合甲方就本项目提供必要的解释和咨询。若国家有明确规定的质量保证期高于此质量保证期的，执行国家规定。</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2）安排专人负责售后技术支持，并提供其联系手机、电话、传真、email；如人员需要调整应及时通知采购人。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0" w:type="dxa"/>
            <w:vAlign w:val="center"/>
          </w:tcPr>
          <w:p>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具体技术要求</w:t>
            </w:r>
          </w:p>
        </w:tc>
        <w:tc>
          <w:tcPr>
            <w:tcW w:w="7407" w:type="dxa"/>
            <w:gridSpan w:val="4"/>
          </w:tcPr>
          <w:p>
            <w:pPr>
              <w:rPr>
                <w:rFonts w:ascii="仿宋" w:hAnsi="仿宋" w:eastAsia="仿宋" w:cs="仿宋"/>
                <w:b/>
                <w:bCs/>
                <w:szCs w:val="21"/>
              </w:rPr>
            </w:pPr>
            <w:r>
              <w:rPr>
                <w:rFonts w:hint="eastAsia" w:ascii="仿宋" w:hAnsi="仿宋" w:eastAsia="仿宋" w:cs="仿宋"/>
                <w:b/>
                <w:bCs/>
                <w:color w:val="000000" w:themeColor="text1"/>
                <w:szCs w:val="21"/>
                <w14:textFill>
                  <w14:solidFill>
                    <w14:schemeClr w14:val="tx1"/>
                  </w14:solidFill>
                </w14:textFill>
              </w:rPr>
              <w:t>1.</w:t>
            </w:r>
            <w:r>
              <w:rPr>
                <w:rFonts w:hint="eastAsia" w:ascii="仿宋" w:hAnsi="仿宋" w:eastAsia="仿宋" w:cs="仿宋"/>
                <w:b/>
                <w:bCs/>
                <w:szCs w:val="21"/>
              </w:rPr>
              <w:t>总体要求：</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依据自然资源部发布的</w:t>
            </w:r>
            <w:r>
              <w:rPr>
                <w:rFonts w:hint="eastAsia" w:ascii="仿宋" w:hAnsi="仿宋" w:eastAsia="仿宋" w:cs="仿宋"/>
                <w:color w:val="000000" w:themeColor="text1"/>
                <w:szCs w:val="21"/>
                <w14:textFill>
                  <w14:solidFill>
                    <w14:schemeClr w14:val="tx1"/>
                  </w14:solidFill>
                </w14:textFill>
              </w:rPr>
              <w:t>《国土空间规划城市体检评估规程》，按照“一年一体检、五年一评估”的方式，对城市发展阶段特征及国土空间总体规划实施效果定期进行分析和评价，</w:t>
            </w:r>
            <w:r>
              <w:rPr>
                <w:rFonts w:hint="eastAsia" w:ascii="仿宋" w:hAnsi="仿宋" w:eastAsia="仿宋" w:cs="仿宋"/>
                <w:color w:val="000000" w:themeColor="text1"/>
                <w:szCs w:val="21"/>
                <w:lang w:eastAsia="zh-CN"/>
                <w14:textFill>
                  <w14:solidFill>
                    <w14:schemeClr w14:val="tx1"/>
                  </w14:solidFill>
                </w14:textFill>
              </w:rPr>
              <w:t>以</w:t>
            </w:r>
            <w:r>
              <w:rPr>
                <w:rFonts w:hint="eastAsia" w:ascii="仿宋" w:hAnsi="仿宋" w:eastAsia="仿宋" w:cs="仿宋"/>
                <w:color w:val="000000" w:themeColor="text1"/>
                <w:szCs w:val="21"/>
                <w14:textFill>
                  <w14:solidFill>
                    <w14:schemeClr w14:val="tx1"/>
                  </w14:solidFill>
                </w14:textFill>
              </w:rPr>
              <w:t>促进城市高质量发展、提高国土空间规划实施有效性</w:t>
            </w:r>
            <w:r>
              <w:rPr>
                <w:rFonts w:hint="eastAsia" w:ascii="仿宋" w:hAnsi="仿宋" w:eastAsia="仿宋" w:cs="仿宋"/>
                <w:color w:val="000000" w:themeColor="text1"/>
                <w:szCs w:val="21"/>
                <w:lang w:eastAsia="zh-CN"/>
                <w14:textFill>
                  <w14:solidFill>
                    <w14:schemeClr w14:val="tx1"/>
                  </w14:solidFill>
                </w14:textFill>
              </w:rPr>
              <w:t>。</w:t>
            </w:r>
          </w:p>
          <w:p>
            <w:pPr>
              <w:ind w:firstLine="0" w:firstLineChars="0"/>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2.项目人员安排要求</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（1）必须独立设置项目组，有固定的项目负责人和联系人。</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（2）责人需具有5年及以上规划、国土行业研究经验或副高级以上职称。</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3）项目团队成员不能少于5人。</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4）中标方不得随意更换项目负责人，如不经采购单位同意擅自更换，则采购单位有权解除合同或根据情节对其处以5000元/次的罚款。</w:t>
            </w:r>
          </w:p>
          <w:p>
            <w:pPr>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3.服务内容：</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1）城市发展体征监测</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从服务地方实际出发，针对城市发展情况，基于安全、创新、协调、绿色、开放、共享六个维度，开展基本指标、推荐指标和深圳自选指标等三类指标的监测和评价。基本指标是与国土空间规划紧密关联的底线、用地、设施、管理类指标，推荐指标是从不同方面直接或间接反映国土空间治理水平的指标，深圳自选指标是结合深圳城市特点，突出城市保护诉求和发展导向，因地制宜设定的相关指标，同时结合城市发展进行优化完善。通过横向对比和时序演变评估，找差距、找短板，发现城市健康中的‘病灶’。</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2）国土空间规划城市体检评估</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国土空间规划城市体检评估重点围绕战略定位、底线管控、规模结构、空间布局、支撑体系、实施保障等六大维度，以国土空间保护利用状况评估为导向，开展国土空间规划城市运行情况全面体检评估，查找</w:t>
            </w:r>
            <w:r>
              <w:rPr>
                <w:rFonts w:hint="eastAsia" w:ascii="仿宋" w:hAnsi="仿宋" w:eastAsia="仿宋" w:cs="仿宋"/>
                <w:color w:val="000000" w:themeColor="text1"/>
                <w:szCs w:val="21"/>
                <w:lang w:eastAsia="zh-CN"/>
                <w14:textFill>
                  <w14:solidFill>
                    <w14:schemeClr w14:val="tx1"/>
                  </w14:solidFill>
                </w14:textFill>
              </w:rPr>
              <w:t>与市民密切相关</w:t>
            </w:r>
            <w:r>
              <w:rPr>
                <w:rFonts w:hint="eastAsia" w:ascii="仿宋" w:hAnsi="仿宋" w:eastAsia="仿宋" w:cs="仿宋"/>
                <w:color w:val="000000" w:themeColor="text1"/>
                <w:szCs w:val="21"/>
                <w14:textFill>
                  <w14:solidFill>
                    <w14:schemeClr w14:val="tx1"/>
                  </w14:solidFill>
                </w14:textFill>
              </w:rPr>
              <w:t>的宜业、宜居、宜乐、宜游方面突出问题，诊断“城市病”的病灶、病情、病因，评估规划实施的效力（规划实施一致性）、效益（实施结果合理性）、效应（使用主体评价）和保障（实施环境和政策机制），以及规划本身的作用和适应性，从规划、政策、计划、行动等多方面提出对策建议，确保城市健康运行，提升</w:t>
            </w:r>
            <w:r>
              <w:rPr>
                <w:rFonts w:hint="eastAsia" w:ascii="仿宋" w:hAnsi="仿宋" w:eastAsia="仿宋" w:cs="仿宋"/>
                <w:color w:val="000000" w:themeColor="text1"/>
                <w:szCs w:val="21"/>
                <w:lang w:eastAsia="zh-CN"/>
                <w14:textFill>
                  <w14:solidFill>
                    <w14:schemeClr w14:val="tx1"/>
                  </w14:solidFill>
                </w14:textFill>
              </w:rPr>
              <w:t>市民</w:t>
            </w:r>
            <w:r>
              <w:rPr>
                <w:rFonts w:hint="eastAsia" w:ascii="仿宋" w:hAnsi="仿宋" w:eastAsia="仿宋" w:cs="仿宋"/>
                <w:color w:val="000000" w:themeColor="text1"/>
                <w:szCs w:val="21"/>
                <w14:textFill>
                  <w14:solidFill>
                    <w14:schemeClr w14:val="tx1"/>
                  </w14:solidFill>
                </w14:textFill>
              </w:rPr>
              <w:t>获得感、幸福感、安全感。</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3）空间规划领域重点专项评估</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围绕《市规划和自然资源局“再出发、再超越、再引领”行动方案》重点工作，结合“奋力攻坚国际化城市攀登计划，在建设现代化国际大都市上实现新突破”的任务部署，开展全面对标纽约、伦敦、东京等国际一流城市，找准深圳城市规划建设差距与短板，系统研究梳理和吸收借鉴对标城市在规划引领、资源利用、向海发展、品质打造、智慧运营、都市圈建设等领域的发展模式和成功经验，持续提升深圳城市国际化水平和知名度、影响力。</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4）国土空间规划体系运行监测</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依据《深圳市国土空间规划传导技术指引》，基于“管什么、批什么，批什么、编什么，编什么、传导什么”的要求，考察“两级三类”国土空间规划体系传导情况，主要分为两个维度：①上下协同的纵向传导分析，包括上层级规划的战略意图、刚性管控要求、约束性指标逐级贯彻落实情况；②有效约束的横向衔接分析，梳理当年各类国土空间专项规划编制审批情况；选取当年编制的重点专项规划与总体规划在目标、指标、标准及重大设施布局方面的衔接情况，检视衔接过程中存在的问题。</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5）体检评估指标模型更新维护及开发设计</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开展国土空间规划“一张图”实施监督信息系统中城市体检评估指标模型动态维护更新，更新维护后统一纳入系统。一方面，通过指标动态更新和加工处理，实时查看指标数据，实现指标多维度分析和可视化</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掌握指标变化趋势。另一方面，通过模型功能开发设计，持续完善各类功能模块。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560" w:type="dxa"/>
          </w:tcPr>
          <w:p>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商务需求</w:t>
            </w:r>
          </w:p>
        </w:tc>
        <w:tc>
          <w:tcPr>
            <w:tcW w:w="7407" w:type="dxa"/>
            <w:gridSpan w:val="4"/>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1</w:t>
            </w:r>
            <w:r>
              <w:rPr>
                <w:rFonts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14:textFill>
                  <w14:solidFill>
                    <w14:schemeClr w14:val="tx1"/>
                  </w14:solidFill>
                </w14:textFill>
              </w:rPr>
              <w:t>项目概况</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）项目背景：</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土空间规划是国家空间发展的指南、可持续发展的空间蓝图，是各类开发保护建设活动的基本依据。2019年5月，《中共中央、国务院关于建立国土空间规划体系并监督实施的若干意见》（以下简称《意见》）正式印发实施，提出</w:t>
            </w:r>
            <w:r>
              <w:rPr>
                <w:rFonts w:hint="eastAsia" w:ascii="仿宋" w:hAnsi="仿宋" w:eastAsia="仿宋" w:cs="仿宋"/>
                <w:color w:val="000000" w:themeColor="text1"/>
                <w:szCs w:val="21"/>
                <w:lang w:eastAsia="zh-CN"/>
                <w14:textFill>
                  <w14:solidFill>
                    <w14:schemeClr w14:val="tx1"/>
                  </w14:solidFill>
                </w14:textFill>
              </w:rPr>
              <w:t>“建立健全国土空间规划动态检测评估预警和实施监督机制”</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eastAsia="zh-CN"/>
                <w14:textFill>
                  <w14:solidFill>
                    <w14:schemeClr w14:val="tx1"/>
                  </w14:solidFill>
                </w14:textFill>
              </w:rPr>
              <w:t>建立</w:t>
            </w:r>
            <w:r>
              <w:rPr>
                <w:rFonts w:hint="eastAsia" w:ascii="仿宋" w:hAnsi="仿宋" w:eastAsia="仿宋" w:cs="仿宋"/>
                <w:color w:val="000000" w:themeColor="text1"/>
                <w:szCs w:val="21"/>
                <w14:textFill>
                  <w14:solidFill>
                    <w14:schemeClr w14:val="tx1"/>
                  </w14:solidFill>
                </w14:textFill>
              </w:rPr>
              <w:t>国土空间规划定期评估制度”。城市体检评估工作作为国土空间规划实施管理的配套措施，</w:t>
            </w:r>
            <w:r>
              <w:rPr>
                <w:rFonts w:hint="eastAsia" w:ascii="仿宋" w:hAnsi="仿宋" w:eastAsia="仿宋" w:cs="仿宋"/>
                <w:color w:val="000000" w:themeColor="text1"/>
                <w:szCs w:val="21"/>
                <w:lang w:eastAsia="zh-CN"/>
                <w14:textFill>
                  <w14:solidFill>
                    <w14:schemeClr w14:val="tx1"/>
                  </w14:solidFill>
                </w14:textFill>
              </w:rPr>
              <w:t>曾</w:t>
            </w:r>
            <w:r>
              <w:rPr>
                <w:rFonts w:hint="eastAsia" w:ascii="仿宋" w:hAnsi="仿宋" w:eastAsia="仿宋" w:cs="仿宋"/>
                <w:color w:val="000000" w:themeColor="text1"/>
                <w:szCs w:val="21"/>
                <w14:textFill>
                  <w14:solidFill>
                    <w14:schemeClr w14:val="tx1"/>
                  </w14:solidFill>
                </w14:textFill>
              </w:rPr>
              <w:t>于北京、上海、深圳等10个城市开展两轮体检评估先行先试工作。经过多轮试点和工作经验总结，</w:t>
            </w:r>
            <w:r>
              <w:rPr>
                <w:rFonts w:hint="eastAsia" w:ascii="仿宋" w:hAnsi="仿宋" w:eastAsia="仿宋" w:cs="仿宋"/>
                <w:color w:val="000000" w:themeColor="text1"/>
                <w:szCs w:val="21"/>
                <w:lang w:eastAsia="zh-CN"/>
                <w14:textFill>
                  <w14:solidFill>
                    <w14:schemeClr w14:val="tx1"/>
                  </w14:solidFill>
                </w14:textFill>
              </w:rPr>
              <w:t>自然资源部发布</w:t>
            </w:r>
            <w:r>
              <w:rPr>
                <w:rFonts w:hint="eastAsia" w:ascii="仿宋" w:hAnsi="仿宋" w:eastAsia="仿宋" w:cs="仿宋"/>
                <w:color w:val="000000" w:themeColor="text1"/>
                <w:szCs w:val="21"/>
                <w14:textFill>
                  <w14:solidFill>
                    <w14:schemeClr w14:val="tx1"/>
                  </w14:solidFill>
                </w14:textFill>
              </w:rPr>
              <w:t>《国土空间规划城市体检评估规程》（以下简称《规程》），明确国土空间规划城市体检评估按照“一年一体检、五年一评估”的方式，对城市发展阶段特征及国土空间总体规划实施效果定期进行分析和评价，旨在促进城市高质量发展、提高国土空间规划实施有效性。</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1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①</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城市体检评估是落实规划实施监管的重要举措</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意见》要求强化规划实施监管的权威性，保证“一张蓝图绘到底”，明确要求依托国土空间基础信息平台，建立健全国土空间规划动态监测评估预警和实施监管机制，建立国土空间规划定期评估制度，结合国民经济社会发展实际和规划定期评估结果，对国土空间规划进行动态调整完善。</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2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②</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城市体检评估是检验城市运行体征健康的重要抓手</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深圳已步入深度城市化阶段，高质量发展、精细化管理成为城市规划建设管理的必然要求。在此背景下，需要在不同的时间尺度（月、季、半年、年）、不同空间尺度（市、区、重点区域）针对城市整体状况、专项领域、重点领域等方面，开展监测、分析、评估、反馈和校正，从而保证城市健康发展，推动各项城市发展目标有效实现。</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3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③</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体检评估是及时指导规划管理工作的重要路径</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深圳转向存量发展时期，法定图则已基本覆盖规划建设用地，</w:t>
            </w:r>
            <w:r>
              <w:rPr>
                <w:rFonts w:hint="eastAsia" w:ascii="仿宋" w:hAnsi="仿宋" w:eastAsia="仿宋" w:cs="仿宋"/>
                <w:color w:val="000000" w:themeColor="text1"/>
                <w:szCs w:val="21"/>
                <w:lang w:eastAsia="zh-CN"/>
                <w14:textFill>
                  <w14:solidFill>
                    <w14:schemeClr w14:val="tx1"/>
                  </w14:solidFill>
                </w14:textFill>
              </w:rPr>
              <w:t>存量地区按需开展</w:t>
            </w:r>
            <w:r>
              <w:rPr>
                <w:rFonts w:hint="eastAsia" w:ascii="仿宋" w:hAnsi="仿宋" w:eastAsia="仿宋" w:cs="仿宋"/>
                <w:color w:val="000000" w:themeColor="text1"/>
                <w:szCs w:val="21"/>
                <w14:textFill>
                  <w14:solidFill>
                    <w14:schemeClr w14:val="tx1"/>
                  </w14:solidFill>
                </w14:textFill>
              </w:rPr>
              <w:t>城市更新与土地整备等法定规划</w:t>
            </w:r>
            <w:r>
              <w:rPr>
                <w:rFonts w:hint="eastAsia" w:ascii="仿宋" w:hAnsi="仿宋" w:eastAsia="仿宋" w:cs="仿宋"/>
                <w:color w:val="000000" w:themeColor="text1"/>
                <w:szCs w:val="21"/>
                <w:lang w:eastAsia="zh-CN"/>
                <w14:textFill>
                  <w14:solidFill>
                    <w14:schemeClr w14:val="tx1"/>
                  </w14:solidFill>
                </w14:textFill>
              </w:rPr>
              <w:t>编制</w:t>
            </w:r>
            <w:r>
              <w:rPr>
                <w:rFonts w:hint="eastAsia" w:ascii="仿宋" w:hAnsi="仿宋" w:eastAsia="仿宋" w:cs="仿宋"/>
                <w:color w:val="000000" w:themeColor="text1"/>
                <w:szCs w:val="21"/>
                <w14:textFill>
                  <w14:solidFill>
                    <w14:schemeClr w14:val="tx1"/>
                  </w14:solidFill>
                </w14:textFill>
              </w:rPr>
              <w:t>，需要通过汇总所有法定规划进行一张图层面的评估，</w:t>
            </w:r>
            <w:r>
              <w:rPr>
                <w:rFonts w:hint="eastAsia" w:ascii="仿宋" w:hAnsi="仿宋" w:eastAsia="仿宋" w:cs="仿宋"/>
                <w:color w:val="000000" w:themeColor="text1"/>
                <w:szCs w:val="21"/>
                <w:lang w:eastAsia="zh-CN"/>
                <w14:textFill>
                  <w14:solidFill>
                    <w14:schemeClr w14:val="tx1"/>
                  </w14:solidFill>
                </w14:textFill>
              </w:rPr>
              <w:t>更好</w:t>
            </w:r>
            <w:r>
              <w:rPr>
                <w:rFonts w:hint="eastAsia" w:ascii="仿宋" w:hAnsi="仿宋" w:eastAsia="仿宋" w:cs="仿宋"/>
                <w:color w:val="000000" w:themeColor="text1"/>
                <w:szCs w:val="21"/>
                <w14:textFill>
                  <w14:solidFill>
                    <w14:schemeClr w14:val="tx1"/>
                  </w14:solidFill>
                </w14:textFill>
              </w:rPr>
              <w:t>指导</w:t>
            </w:r>
            <w:r>
              <w:rPr>
                <w:rFonts w:hint="eastAsia" w:ascii="仿宋" w:hAnsi="仿宋" w:eastAsia="仿宋" w:cs="仿宋"/>
                <w:color w:val="000000" w:themeColor="text1"/>
                <w:szCs w:val="21"/>
                <w:lang w:eastAsia="zh-CN"/>
                <w14:textFill>
                  <w14:solidFill>
                    <w14:schemeClr w14:val="tx1"/>
                  </w14:solidFill>
                </w14:textFill>
              </w:rPr>
              <w:t>片区</w:t>
            </w:r>
            <w:r>
              <w:rPr>
                <w:rFonts w:hint="eastAsia" w:ascii="仿宋" w:hAnsi="仿宋" w:eastAsia="仿宋" w:cs="仿宋"/>
                <w:color w:val="000000" w:themeColor="text1"/>
                <w:szCs w:val="21"/>
                <w14:textFill>
                  <w14:solidFill>
                    <w14:schemeClr w14:val="tx1"/>
                  </w14:solidFill>
                </w14:textFill>
              </w:rPr>
              <w:t>的规划管理工作。</w:t>
            </w:r>
          </w:p>
          <w:p>
            <w:pPr>
              <w:ind w:firstLine="420" w:firstLineChars="200"/>
              <w:jc w:val="left"/>
              <w:rPr>
                <w:rFonts w:ascii="仿宋" w:hAnsi="仿宋" w:eastAsia="仿宋" w:cs="仿宋"/>
                <w:szCs w:val="21"/>
              </w:rPr>
            </w:pPr>
            <w:r>
              <w:rPr>
                <w:rFonts w:hint="eastAsia" w:ascii="仿宋" w:hAnsi="仿宋" w:eastAsia="仿宋" w:cs="仿宋"/>
                <w:color w:val="000000" w:themeColor="text1"/>
                <w:szCs w:val="21"/>
                <w:lang w:eastAsia="zh-CN"/>
                <w14:textFill>
                  <w14:solidFill>
                    <w14:schemeClr w14:val="tx1"/>
                  </w14:solidFill>
                </w14:textFill>
              </w:rPr>
              <w:t>因</w:t>
            </w:r>
            <w:r>
              <w:rPr>
                <w:rFonts w:hint="eastAsia" w:ascii="仿宋" w:hAnsi="仿宋" w:eastAsia="仿宋" w:cs="仿宋"/>
                <w:color w:val="000000" w:themeColor="text1"/>
                <w:szCs w:val="21"/>
                <w14:textFill>
                  <w14:solidFill>
                    <w14:schemeClr w14:val="tx1"/>
                  </w14:solidFill>
                </w14:textFill>
              </w:rPr>
              <w:t>此，结合国土空间规划开展实时监测、定期评估既是国家要求的“规定动作”，也是推动规划实施的关键一环</w:t>
            </w:r>
            <w:r>
              <w:rPr>
                <w:rFonts w:hint="eastAsia" w:ascii="仿宋" w:hAnsi="仿宋" w:eastAsia="仿宋" w:cs="仿宋"/>
                <w:color w:val="000000" w:themeColor="text1"/>
                <w:szCs w:val="21"/>
                <w:lang w:eastAsia="zh-CN"/>
                <w14:textFill>
                  <w14:solidFill>
                    <w14:schemeClr w14:val="tx1"/>
                  </w14:solidFill>
                </w14:textFill>
              </w:rPr>
              <w:t>及</w:t>
            </w:r>
            <w:r>
              <w:rPr>
                <w:rFonts w:hint="eastAsia" w:ascii="仿宋" w:hAnsi="仿宋" w:eastAsia="仿宋" w:cs="仿宋"/>
                <w:color w:val="000000" w:themeColor="text1"/>
                <w:szCs w:val="21"/>
                <w14:textFill>
                  <w14:solidFill>
                    <w14:schemeClr w14:val="tx1"/>
                  </w14:solidFill>
                </w14:textFill>
              </w:rPr>
              <w:t>保障城市健康运行的重要</w:t>
            </w:r>
            <w:r>
              <w:rPr>
                <w:rFonts w:hint="eastAsia" w:ascii="仿宋" w:hAnsi="仿宋" w:eastAsia="仿宋" w:cs="仿宋"/>
                <w:color w:val="000000" w:themeColor="text1"/>
                <w:szCs w:val="21"/>
                <w:lang w:eastAsia="zh-CN"/>
                <w14:textFill>
                  <w14:solidFill>
                    <w14:schemeClr w14:val="tx1"/>
                  </w14:solidFill>
                </w14:textFill>
              </w:rPr>
              <w:t>措施。</w:t>
            </w:r>
          </w:p>
          <w:p>
            <w:pPr>
              <w:ind w:firstLine="420" w:firstLineChars="200"/>
              <w:jc w:val="left"/>
              <w:rPr>
                <w:rFonts w:ascii="仿宋" w:hAnsi="仿宋" w:eastAsia="仿宋" w:cs="仿宋"/>
                <w:szCs w:val="21"/>
              </w:rPr>
            </w:pPr>
            <w:r>
              <w:rPr>
                <w:rFonts w:hint="eastAsia" w:ascii="仿宋" w:hAnsi="仿宋" w:eastAsia="仿宋" w:cs="仿宋"/>
                <w:szCs w:val="21"/>
              </w:rPr>
              <w:t>（2）项目质量要求或标准</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1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①</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落实国家及部省工作部署</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按照国家对各城市国土空间规划城市体检评估工作部署，参照部里相关规程，开展国土空间规划城市体检评估工作并按时按要求上报评估成果，完成部省部署的工作任务。</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2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②</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掌握体检评估城市体征及运行状态</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构建融合深圳特色的指标体系，对城市发展运行进行全面监测，掌握城市整体发展态势和特征，及时发现城市面临的各类问题，识别国土安全、生态保护、资源利用、人居环境等风险因素，提出针对性调整及校正建议，推动城市健康发展。</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3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③</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支撑国土空间规划动态调整</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对照国土空间开发保护及城市发展目标，通过多期指标分项对比、趋势模拟等，为国土空间总体规划、详细规划的动态调校、适时修改提供技术支撑。</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4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④</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支撑国家可持续发展议程创新示范区建设</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根据《深圳市可持续发展规划（2017-2030年）》部署的工作任务及指标要求，每年实行城市可持续发展方面的体检评估，支撑“深圳可持续发展议程创新示范区建设实施方案”编制及落实，推动示范区顺利建设。</w:t>
            </w:r>
          </w:p>
          <w:p>
            <w:pPr>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w:t>
            </w:r>
            <w:r>
              <w:rPr>
                <w:rFonts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14:textFill>
                  <w14:solidFill>
                    <w14:schemeClr w14:val="tx1"/>
                  </w14:solidFill>
                </w14:textFill>
              </w:rPr>
              <w:t>项目所依据及参考的标准</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（1）《中共中央 国务院关于建立国土空间规划体系并监督实施的若干意见》（中发〔2019〕18号）</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）《自然资源部办公厅关于开展国土空间规划“一张图”建设和现状评估工作的通知》（自然资办厅〔20</w:t>
            </w:r>
            <w:r>
              <w:rPr>
                <w:rFonts w:ascii="仿宋" w:hAnsi="仿宋" w:eastAsia="仿宋" w:cs="仿宋"/>
                <w:color w:val="000000" w:themeColor="text1"/>
                <w:szCs w:val="21"/>
                <w14:textFill>
                  <w14:solidFill>
                    <w14:schemeClr w14:val="tx1"/>
                  </w14:solidFill>
                </w14:textFill>
              </w:rPr>
              <w:t>19</w:t>
            </w:r>
            <w:r>
              <w:rPr>
                <w:rFonts w:hint="eastAsia" w:ascii="仿宋" w:hAnsi="仿宋" w:eastAsia="仿宋" w:cs="仿宋"/>
                <w:color w:val="000000" w:themeColor="text1"/>
                <w:szCs w:val="21"/>
                <w14:textFill>
                  <w14:solidFill>
                    <w14:schemeClr w14:val="tx1"/>
                  </w14:solidFill>
                </w14:textFill>
              </w:rPr>
              <w:t>〕38号）</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（3）《自然资源部办公厅关于加强国土空间规划监督管理的通知》（自然资办发〔2020〕27号）</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（4）《自然资源部办公厅关于认真抓好&lt;国土空间规划城市体检评估规程&gt;</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贯彻落实工作的通知》（自然资办发〔2021〕55号）</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（5）《国土空间规划城市体检评估规程》（TD/T 1063-2021）</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（6）自然资源部关于进一步加强国土空间规划编制和实施管理的通知（自然资发〔</w:t>
            </w:r>
            <w:r>
              <w:rPr>
                <w:rFonts w:ascii="仿宋" w:hAnsi="仿宋" w:eastAsia="仿宋" w:cs="仿宋"/>
                <w:color w:val="000000" w:themeColor="text1"/>
                <w:szCs w:val="21"/>
                <w14:textFill>
                  <w14:solidFill>
                    <w14:schemeClr w14:val="tx1"/>
                  </w14:solidFill>
                </w14:textFill>
              </w:rPr>
              <w:t>2022</w:t>
            </w:r>
            <w:r>
              <w:rPr>
                <w:rFonts w:hint="eastAsia" w:ascii="仿宋" w:hAnsi="仿宋" w:eastAsia="仿宋" w:cs="仿宋"/>
                <w:color w:val="000000" w:themeColor="text1"/>
                <w:szCs w:val="21"/>
                <w14:textFill>
                  <w14:solidFill>
                    <w14:schemeClr w14:val="tx1"/>
                  </w14:solidFill>
                </w14:textFill>
              </w:rPr>
              <w:t>〕</w:t>
            </w:r>
            <w:r>
              <w:rPr>
                <w:rFonts w:ascii="仿宋" w:hAnsi="仿宋" w:eastAsia="仿宋" w:cs="仿宋"/>
                <w:color w:val="000000" w:themeColor="text1"/>
                <w:szCs w:val="21"/>
                <w14:textFill>
                  <w14:solidFill>
                    <w14:schemeClr w14:val="tx1"/>
                  </w14:solidFill>
                </w14:textFill>
              </w:rPr>
              <w:t>186</w:t>
            </w:r>
            <w:r>
              <w:rPr>
                <w:rFonts w:hint="eastAsia" w:ascii="仿宋" w:hAnsi="仿宋" w:eastAsia="仿宋" w:cs="仿宋"/>
                <w:color w:val="000000" w:themeColor="text1"/>
                <w:szCs w:val="21"/>
                <w14:textFill>
                  <w14:solidFill>
                    <w14:schemeClr w14:val="tx1"/>
                  </w14:solidFill>
                </w14:textFill>
              </w:rPr>
              <w:t>号）</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3.项目采购范围</w:t>
            </w:r>
            <w:r>
              <w:rPr>
                <w:rFonts w:hint="eastAsia" w:ascii="仿宋" w:hAnsi="仿宋" w:eastAsia="仿宋" w:cs="仿宋"/>
                <w:color w:val="000000" w:themeColor="text1"/>
                <w:szCs w:val="21"/>
                <w14:textFill>
                  <w14:solidFill>
                    <w14:schemeClr w14:val="tx1"/>
                  </w14:solidFill>
                </w14:textFill>
              </w:rPr>
              <w:t>（本次招标的项目范围，包括服务名称、服务地点、服务内容、服务要求等）</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（1）服务名称：2025年深圳市国土空间规划实施评估及城市体检</w:t>
            </w:r>
          </w:p>
          <w:p>
            <w:pPr>
              <w:ind w:firstLine="420" w:firstLineChars="200"/>
              <w:jc w:val="left"/>
              <w:rPr>
                <w:rFonts w:ascii="仿宋" w:hAnsi="仿宋" w:eastAsia="仿宋" w:cs="仿宋"/>
                <w:color w:val="FF0000"/>
                <w:szCs w:val="21"/>
              </w:rPr>
            </w:pPr>
            <w:r>
              <w:rPr>
                <w:rFonts w:hint="eastAsia" w:ascii="仿宋" w:hAnsi="仿宋" w:eastAsia="仿宋" w:cs="仿宋"/>
                <w:color w:val="000000" w:themeColor="text1"/>
                <w:szCs w:val="21"/>
                <w14:textFill>
                  <w14:solidFill>
                    <w14:schemeClr w14:val="tx1"/>
                  </w14:solidFill>
                </w14:textFill>
              </w:rPr>
              <w:t>（2）服务地点：</w:t>
            </w:r>
            <w:r>
              <w:rPr>
                <w:rFonts w:hint="eastAsia" w:ascii="仿宋" w:hAnsi="仿宋" w:eastAsia="仿宋" w:cs="仿宋"/>
                <w:szCs w:val="21"/>
              </w:rPr>
              <w:t>深圳市市域范围（不含深汕合作区）</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 xml:space="preserve">服务内容: </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1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①</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城市发展体征监测</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从服务地方实际出发，针对城市发展情况，基于安全、创新、协调、绿色、开放、共享六个维度，开展基本指标、推荐指标和深圳自选指标等三类指标的监测和评价。基本指标是与国土空间规划紧密关联的底线、用地、设施、管理类指标，推荐指标是从不同方面直接或间接反映国土空间治理水平的指标，深圳自选指标是结合深圳城市特点，突出城市保护诉求和发展导向，因地制宜设定的相关指标，同时结合城市发展进行优化完善。通过横向对比和时序演变评估，找差距、找短板，发现城市健康中的‘病灶’。</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2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②</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国土空间规划城市体检评估</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国土空间规划城市体检评估重点围绕战略定位、底线管控、规模结构、空间布局、支撑体系、实施保障等六大维度，以国土空间保护利用状况评估为导向，开展国土空间规划城市运行情况全面体检评估，查找</w:t>
            </w:r>
            <w:r>
              <w:rPr>
                <w:rFonts w:hint="eastAsia" w:ascii="仿宋" w:hAnsi="仿宋" w:eastAsia="仿宋" w:cs="仿宋"/>
                <w:color w:val="000000" w:themeColor="text1"/>
                <w:szCs w:val="21"/>
                <w:lang w:eastAsia="zh-CN"/>
                <w14:textFill>
                  <w14:solidFill>
                    <w14:schemeClr w14:val="tx1"/>
                  </w14:solidFill>
                </w14:textFill>
              </w:rPr>
              <w:t>与市民密切相关</w:t>
            </w:r>
            <w:r>
              <w:rPr>
                <w:rFonts w:hint="eastAsia" w:ascii="仿宋" w:hAnsi="仿宋" w:eastAsia="仿宋" w:cs="仿宋"/>
                <w:color w:val="000000" w:themeColor="text1"/>
                <w:szCs w:val="21"/>
                <w14:textFill>
                  <w14:solidFill>
                    <w14:schemeClr w14:val="tx1"/>
                  </w14:solidFill>
                </w14:textFill>
              </w:rPr>
              <w:t>的宜业、宜居、宜乐、宜游方面突出问题，诊断“城市病”的病灶、病情、病因，评估规划实施的效力（规划实施一致性）、效益（实施结果合理性）、效应（使用主体评价）和保障（实施环境和政策机制），以及规划本身的作用和适应性，从规划、政策、计划、行动等多方面提出对策建议，确保城市健康运行，提升</w:t>
            </w:r>
            <w:r>
              <w:rPr>
                <w:rFonts w:hint="eastAsia" w:ascii="仿宋" w:hAnsi="仿宋" w:eastAsia="仿宋" w:cs="仿宋"/>
                <w:color w:val="000000" w:themeColor="text1"/>
                <w:szCs w:val="21"/>
                <w:lang w:eastAsia="zh-CN"/>
                <w14:textFill>
                  <w14:solidFill>
                    <w14:schemeClr w14:val="tx1"/>
                  </w14:solidFill>
                </w14:textFill>
              </w:rPr>
              <w:t>市民</w:t>
            </w:r>
            <w:r>
              <w:rPr>
                <w:rFonts w:hint="eastAsia" w:ascii="仿宋" w:hAnsi="仿宋" w:eastAsia="仿宋" w:cs="仿宋"/>
                <w:color w:val="000000" w:themeColor="text1"/>
                <w:szCs w:val="21"/>
                <w14:textFill>
                  <w14:solidFill>
                    <w14:schemeClr w14:val="tx1"/>
                  </w14:solidFill>
                </w14:textFill>
              </w:rPr>
              <w:t>获得感、幸福感、安全感。</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3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③</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空间规划领域重点专项评估</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围绕《市规划和自然资源局“再出发、再超越、再引领”行动方案》重点工作，结合“奋力攻坚国际化城市攀登计划，在建设现代化国际大都市上实现新突破”的任务部署，开展全面对标纽约、伦敦、东京等国际一流城市，找准深圳城市规划建设差距与短板，系统研究梳理和吸收借鉴对标城市在规划引领、资源利用、向海发展、品质打造、智慧运营、都市圈建设等领域的发展模式和成功经验，持续提升深圳城市国际化水平和知名度、影响力。</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4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④</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国土空间规划体系运行监测</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依据《深圳市国土空间规划传导技术指引》，基于“管什么、批什么，批什么、编什么，编什么、传导什么”的要求，考察“两级三类”国土空间规划体系传导情况，主要分为两个维度：①上下协同的纵向传导分析，包括上层级规划的战略意图、刚性管控要求、约束性指标逐级贯彻落实情况；②有效约束的横向衔接分析，梳理当年各类国土空间专项规划编制审批情况；选取当年编制的重点专项规划与总体规划在目标、指标、标准及重大设施布局方面的衔接情况，检视衔接过程中存在的问题。</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fldChar w:fldCharType="begin"/>
            </w:r>
            <w:r>
              <w:rPr>
                <w:rFonts w:ascii="仿宋" w:hAnsi="仿宋" w:eastAsia="仿宋" w:cs="仿宋"/>
                <w:color w:val="000000" w:themeColor="text1"/>
                <w:szCs w:val="21"/>
                <w14:textFill>
                  <w14:solidFill>
                    <w14:schemeClr w14:val="tx1"/>
                  </w14:solidFill>
                </w14:textFill>
              </w:rPr>
              <w:instrText xml:space="preserve"> </w:instrText>
            </w:r>
            <w:r>
              <w:rPr>
                <w:rFonts w:hint="eastAsia" w:ascii="仿宋" w:hAnsi="仿宋" w:eastAsia="仿宋" w:cs="仿宋"/>
                <w:color w:val="000000" w:themeColor="text1"/>
                <w:szCs w:val="21"/>
                <w14:textFill>
                  <w14:solidFill>
                    <w14:schemeClr w14:val="tx1"/>
                  </w14:solidFill>
                </w14:textFill>
              </w:rPr>
              <w:instrText xml:space="preserve">= 5 \* GB3</w:instrText>
            </w:r>
            <w:r>
              <w:rPr>
                <w:rFonts w:ascii="仿宋" w:hAnsi="仿宋" w:eastAsia="仿宋" w:cs="仿宋"/>
                <w:color w:val="000000" w:themeColor="text1"/>
                <w:szCs w:val="21"/>
                <w14:textFill>
                  <w14:solidFill>
                    <w14:schemeClr w14:val="tx1"/>
                  </w14:solidFill>
                </w14:textFill>
              </w:rPr>
              <w:instrText xml:space="preserve"> </w:instrText>
            </w:r>
            <w:r>
              <w:rPr>
                <w:rFonts w:ascii="仿宋" w:hAnsi="仿宋" w:eastAsia="仿宋" w:cs="仿宋"/>
                <w:color w:val="000000" w:themeColor="text1"/>
                <w:szCs w:val="21"/>
                <w14:textFill>
                  <w14:solidFill>
                    <w14:schemeClr w14:val="tx1"/>
                  </w14:solidFill>
                </w14:textFill>
              </w:rPr>
              <w:fldChar w:fldCharType="separate"/>
            </w:r>
            <w:r>
              <w:rPr>
                <w:rFonts w:hint="eastAsia" w:ascii="仿宋" w:hAnsi="仿宋" w:eastAsia="仿宋" w:cs="仿宋"/>
                <w:color w:val="000000" w:themeColor="text1"/>
                <w:szCs w:val="21"/>
                <w14:textFill>
                  <w14:solidFill>
                    <w14:schemeClr w14:val="tx1"/>
                  </w14:solidFill>
                </w14:textFill>
              </w:rPr>
              <w:t>⑤</w:t>
            </w:r>
            <w:r>
              <w:rPr>
                <w:rFonts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体检评估指标模型更新维护及开发设计</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开展国土空间规划“一张图”实施监督信息系统中城市体检评估指标模型动态维护更新，更新维护后统一纳入系统。一方面，通过指标动态更新和加工处理，实时查看指标数据，实现指标多维度分析和可视化</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掌握指标变化趋势。另一方面，通过模型功能开发设计，持续完善各类功能模块。</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4</w:t>
            </w:r>
            <w:r>
              <w:rPr>
                <w:rFonts w:ascii="仿宋" w:hAnsi="仿宋" w:eastAsia="仿宋" w:cs="仿宋"/>
                <w:b/>
                <w:bCs/>
                <w:color w:val="000000" w:themeColor="text1"/>
                <w:szCs w:val="21"/>
                <w14:textFill>
                  <w14:solidFill>
                    <w14:schemeClr w14:val="tx1"/>
                  </w14:solidFill>
                </w14:textFill>
              </w:rPr>
              <w:t>.</w:t>
            </w:r>
            <w:r>
              <w:rPr>
                <w:rFonts w:hint="eastAsia" w:ascii="仿宋" w:hAnsi="仿宋" w:eastAsia="仿宋" w:cs="仿宋"/>
                <w:b/>
                <w:bCs/>
                <w:color w:val="000000" w:themeColor="text1"/>
                <w:szCs w:val="21"/>
                <w14:textFill>
                  <w14:solidFill>
                    <w14:schemeClr w14:val="tx1"/>
                  </w14:solidFill>
                </w14:textFill>
              </w:rPr>
              <w:t>服务期限</w:t>
            </w:r>
            <w:r>
              <w:rPr>
                <w:rFonts w:hint="eastAsia" w:ascii="仿宋" w:hAnsi="仿宋" w:eastAsia="仿宋" w:cs="仿宋"/>
                <w:color w:val="000000" w:themeColor="text1"/>
                <w:szCs w:val="21"/>
                <w14:textFill>
                  <w14:solidFill>
                    <w14:schemeClr w14:val="tx1"/>
                  </w14:solidFill>
                </w14:textFill>
              </w:rPr>
              <w:t>（下达的计划时间和实际服务期限不一致的，需列明实际服务期限）</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自合同签订之日起12个月内，遇有特殊情况，经甲乙双方协商后服务期限可适当延长。</w:t>
            </w:r>
          </w:p>
          <w:p>
            <w:pPr>
              <w:jc w:val="left"/>
              <w:rPr>
                <w:rFonts w:ascii="仿宋" w:hAnsi="仿宋" w:eastAsia="仿宋" w:cs="仿宋"/>
                <w:b/>
                <w:bCs/>
                <w:color w:val="000000" w:themeColor="text1"/>
                <w:szCs w:val="21"/>
                <w14:textFill>
                  <w14:solidFill>
                    <w14:schemeClr w14:val="tx1"/>
                  </w14:solidFill>
                </w14:textFill>
              </w:rPr>
            </w:pPr>
            <w:r>
              <w:rPr>
                <w:rFonts w:ascii="仿宋" w:hAnsi="仿宋" w:eastAsia="仿宋" w:cs="仿宋"/>
                <w:b/>
                <w:bCs/>
                <w:color w:val="000000" w:themeColor="text1"/>
                <w:szCs w:val="21"/>
                <w14:textFill>
                  <w14:solidFill>
                    <w14:schemeClr w14:val="tx1"/>
                  </w14:solidFill>
                </w14:textFill>
              </w:rPr>
              <w:t>5</w:t>
            </w:r>
            <w:r>
              <w:rPr>
                <w:rFonts w:hint="eastAsia" w:ascii="仿宋" w:hAnsi="仿宋" w:eastAsia="仿宋" w:cs="仿宋"/>
                <w:b/>
                <w:bCs/>
                <w:color w:val="000000" w:themeColor="text1"/>
                <w:szCs w:val="21"/>
                <w14:textFill>
                  <w14:solidFill>
                    <w14:schemeClr w14:val="tx1"/>
                  </w14:solidFill>
                </w14:textFill>
              </w:rPr>
              <w:t>.服务要求</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为确保本项目工作开展管理规范、实施有力，中标人应成立项目组，对项目组各成员开展专业学习交流，并配合采购人组织、举办本项目各工作阶段的汇报、审查等工作，并负责解答相关的问题。</w:t>
            </w:r>
          </w:p>
          <w:p>
            <w:pPr>
              <w:jc w:val="left"/>
              <w:rPr>
                <w:rFonts w:ascii="仿宋" w:hAnsi="仿宋" w:eastAsia="仿宋" w:cs="仿宋"/>
                <w:b/>
                <w:bCs/>
                <w:color w:val="000000" w:themeColor="text1"/>
                <w:szCs w:val="21"/>
                <w14:textFill>
                  <w14:solidFill>
                    <w14:schemeClr w14:val="tx1"/>
                  </w14:solidFill>
                </w14:textFill>
              </w:rPr>
            </w:pPr>
            <w:r>
              <w:rPr>
                <w:rFonts w:ascii="仿宋" w:hAnsi="仿宋" w:eastAsia="仿宋" w:cs="仿宋"/>
                <w:b/>
                <w:bCs/>
                <w:color w:val="000000" w:themeColor="text1"/>
                <w:szCs w:val="21"/>
                <w14:textFill>
                  <w14:solidFill>
                    <w14:schemeClr w14:val="tx1"/>
                  </w14:solidFill>
                </w14:textFill>
              </w:rPr>
              <w:t>6</w:t>
            </w:r>
            <w:r>
              <w:rPr>
                <w:rFonts w:hint="eastAsia" w:ascii="仿宋" w:hAnsi="仿宋" w:eastAsia="仿宋" w:cs="仿宋"/>
                <w:b/>
                <w:bCs/>
                <w:color w:val="000000" w:themeColor="text1"/>
                <w:szCs w:val="21"/>
                <w14:textFill>
                  <w14:solidFill>
                    <w14:schemeClr w14:val="tx1"/>
                  </w14:solidFill>
                </w14:textFill>
              </w:rPr>
              <w:t>.</w:t>
            </w:r>
            <w:r>
              <w:rPr>
                <w:rFonts w:ascii="仿宋" w:hAnsi="仿宋" w:eastAsia="仿宋" w:cs="仿宋"/>
                <w:b/>
                <w:bCs/>
                <w:color w:val="000000" w:themeColor="text1"/>
                <w:szCs w:val="21"/>
                <w14:textFill>
                  <w14:solidFill>
                    <w14:schemeClr w14:val="tx1"/>
                  </w14:solidFill>
                </w14:textFill>
              </w:rPr>
              <w:t>成果要求</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参照《市规划和自然资源局关于开展项目数字化交付工作的通知（试行）》（深规划资源发〔2022〕184号），结合各专题内容，项目数字化交付内容包含5个文本报告和1个统计数据。</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项目成果：《2024年度深圳市城市体征监测报告》、《2024年度深圳市国土空间规划城市体检评估报告》、《2024年度深圳市城市空间重点专项评估报告》、《2024年度深圳市国土空间规划体系运行监测报告》、《2024年度深圳市国土空间规划城市体检评估指标更新维护报告》、《2024年度深圳市国土空间规划城市体检评估指标数据台账》。</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（2）验收要求：</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本项目成果需经甲方会议审议批准</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成果交付形式及数量：按深圳市规划和自然资源局的具体要求交付，包括电子（光盘）成果、纸质成果等各2套，提交数量应能满足招标人的使用要求。项目按照合同要求的时间节点完成。提交地点为深圳市规划和自然资源局。</w:t>
            </w:r>
          </w:p>
          <w:p>
            <w:pPr>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7.项目人员安排要求</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项目方必须独立设置项目组，有固定的项目负责人和联系人。</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项目负责人需具有5年及以上规划、国土行业研究经验或副高级以上职称。</w:t>
            </w:r>
          </w:p>
          <w:p>
            <w:pPr>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8.售后服务内容、要求和期限</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1）售后服务期限从最终成果验收程序后 1 年以内，乙方应配合甲方就本项目提供必要的解释和咨询。若国家有明确规定的质量保证期高于此质量保证期的，执行国家规定。</w:t>
            </w:r>
          </w:p>
          <w:p>
            <w:pPr>
              <w:ind w:firstLine="420" w:firstLineChars="200"/>
              <w:jc w:val="left"/>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2）安排专人负责售后技术支持，并提供其联系手机、电话、传真、email；如人员需要调整应及时通知采购人。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其他要求</w:t>
            </w:r>
          </w:p>
        </w:tc>
        <w:tc>
          <w:tcPr>
            <w:tcW w:w="7407" w:type="dxa"/>
            <w:gridSpan w:val="4"/>
          </w:tcPr>
          <w:p>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pPr>
              <w:jc w:val="left"/>
              <w:rPr>
                <w:rFonts w:ascii="仿宋" w:hAnsi="仿宋" w:eastAsia="仿宋" w:cs="仿宋"/>
                <w:color w:val="000000" w:themeColor="text1"/>
                <w:kern w:val="0"/>
                <w:szCs w:val="21"/>
                <w14:textFill>
                  <w14:solidFill>
                    <w14:schemeClr w14:val="tx1"/>
                  </w14:solidFill>
                </w14:textFill>
              </w:rPr>
            </w:pPr>
          </w:p>
        </w:tc>
        <w:tc>
          <w:tcPr>
            <w:tcW w:w="850" w:type="dxa"/>
            <w:vMerge w:val="restart"/>
          </w:tcPr>
          <w:p>
            <w:pPr>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特定供应商</w:t>
            </w:r>
          </w:p>
        </w:tc>
        <w:tc>
          <w:tcPr>
            <w:tcW w:w="6557" w:type="dxa"/>
            <w:gridSpan w:val="3"/>
          </w:tcPr>
          <w:p>
            <w:pPr>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单位名称：深圳市规划国土发展研究中心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pPr>
              <w:jc w:val="left"/>
              <w:rPr>
                <w:rFonts w:ascii="仿宋" w:hAnsi="仿宋" w:eastAsia="仿宋" w:cs="仿宋"/>
                <w:color w:val="000000" w:themeColor="text1"/>
                <w:kern w:val="0"/>
                <w:szCs w:val="21"/>
                <w14:textFill>
                  <w14:solidFill>
                    <w14:schemeClr w14:val="tx1"/>
                  </w14:solidFill>
                </w14:textFill>
              </w:rPr>
            </w:pPr>
          </w:p>
        </w:tc>
        <w:tc>
          <w:tcPr>
            <w:tcW w:w="850" w:type="dxa"/>
            <w:vMerge w:val="continue"/>
          </w:tcPr>
          <w:p>
            <w:pPr>
              <w:jc w:val="left"/>
              <w:rPr>
                <w:rFonts w:ascii="仿宋" w:hAnsi="仿宋" w:eastAsia="仿宋" w:cs="仿宋"/>
                <w:bCs/>
                <w:color w:val="000000" w:themeColor="text1"/>
                <w:kern w:val="0"/>
                <w:szCs w:val="21"/>
                <w14:textFill>
                  <w14:solidFill>
                    <w14:schemeClr w14:val="tx1"/>
                  </w14:solidFill>
                </w14:textFill>
              </w:rPr>
            </w:pPr>
          </w:p>
        </w:tc>
        <w:tc>
          <w:tcPr>
            <w:tcW w:w="6557" w:type="dxa"/>
            <w:gridSpan w:val="3"/>
          </w:tcPr>
          <w:p>
            <w:pPr>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项目经办人：于工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pPr>
              <w:jc w:val="left"/>
              <w:rPr>
                <w:rFonts w:ascii="仿宋" w:hAnsi="仿宋" w:eastAsia="仿宋" w:cs="仿宋"/>
                <w:color w:val="000000" w:themeColor="text1"/>
                <w:kern w:val="0"/>
                <w:szCs w:val="21"/>
                <w14:textFill>
                  <w14:solidFill>
                    <w14:schemeClr w14:val="tx1"/>
                  </w14:solidFill>
                </w14:textFill>
              </w:rPr>
            </w:pPr>
          </w:p>
        </w:tc>
        <w:tc>
          <w:tcPr>
            <w:tcW w:w="850" w:type="dxa"/>
            <w:vMerge w:val="continue"/>
          </w:tcPr>
          <w:p>
            <w:pPr>
              <w:jc w:val="left"/>
              <w:rPr>
                <w:rFonts w:ascii="仿宋" w:hAnsi="仿宋" w:eastAsia="仿宋" w:cs="仿宋"/>
                <w:bCs/>
                <w:color w:val="000000" w:themeColor="text1"/>
                <w:kern w:val="0"/>
                <w:szCs w:val="21"/>
                <w14:textFill>
                  <w14:solidFill>
                    <w14:schemeClr w14:val="tx1"/>
                  </w14:solidFill>
                </w14:textFill>
              </w:rPr>
            </w:pPr>
          </w:p>
        </w:tc>
        <w:tc>
          <w:tcPr>
            <w:tcW w:w="6557" w:type="dxa"/>
            <w:gridSpan w:val="3"/>
          </w:tcPr>
          <w:p>
            <w:pPr>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联系电话：</w:t>
            </w:r>
            <w:r>
              <w:rPr>
                <w:rFonts w:ascii="仿宋" w:hAnsi="仿宋" w:eastAsia="仿宋" w:cs="仿宋"/>
                <w:bCs/>
                <w:color w:val="000000" w:themeColor="text1"/>
                <w:szCs w:val="21"/>
                <w14:textFill>
                  <w14:solidFill>
                    <w14:schemeClr w14:val="tx1"/>
                  </w14:solidFill>
                </w14:textFill>
              </w:rPr>
              <w:t>23965121</w:t>
            </w:r>
          </w:p>
        </w:tc>
      </w:tr>
    </w:tbl>
    <w:p>
      <w:pPr>
        <w:spacing w:line="360" w:lineRule="exact"/>
        <w:jc w:val="left"/>
        <w:rPr>
          <w:rFonts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注：</w:t>
      </w:r>
    </w:p>
    <w:p>
      <w:pPr>
        <w:spacing w:line="360" w:lineRule="exact"/>
        <w:jc w:val="left"/>
        <w:rPr>
          <w:rFonts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1、带“*”号的为必填表内容，其他内容可根据项目作适当增减。</w:t>
      </w:r>
    </w:p>
    <w:p>
      <w:pPr>
        <w:spacing w:line="360" w:lineRule="exact"/>
        <w:jc w:val="left"/>
        <w:rPr>
          <w:rFonts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spacing w:line="360" w:lineRule="exact"/>
        <w:rPr>
          <w:rFonts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3、采购单位以上填报的商务条款、技术条款若存在倾向性或不公正性条款，由此引起的不良后果将由采购单位自行承担。</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4、项目需要提供带车服务的，需核查中标单位提供的车型，避免违规出现豪华或超标准车型。</w:t>
      </w:r>
    </w:p>
    <w:p>
      <w:pPr>
        <w:jc w:val="left"/>
        <w:rPr>
          <w:rFonts w:ascii="仿宋_GB2312" w:hAnsi="仿宋_GB2312" w:eastAsia="仿宋_GB2312" w:cs="仿宋_GB2312"/>
          <w:bCs/>
          <w:color w:val="000000" w:themeColor="text1"/>
          <w:sz w:val="32"/>
          <w:szCs w:val="32"/>
          <w14:textFill>
            <w14:solidFill>
              <w14:schemeClr w14:val="tx1"/>
            </w14:solidFill>
          </w14:textFill>
        </w:rPr>
      </w:pPr>
    </w:p>
    <w:p>
      <w:pPr>
        <w:rPr>
          <w:rFonts w:ascii="仿宋_GB2312" w:hAnsi="仿宋_GB2312" w:eastAsia="仿宋_GB2312" w:cs="仿宋_GB2312"/>
          <w:bCs/>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DAA"/>
    <w:rsid w:val="000218DF"/>
    <w:rsid w:val="00043E13"/>
    <w:rsid w:val="000472E1"/>
    <w:rsid w:val="000A22B3"/>
    <w:rsid w:val="000D4920"/>
    <w:rsid w:val="0015219C"/>
    <w:rsid w:val="00191B2C"/>
    <w:rsid w:val="001B0B40"/>
    <w:rsid w:val="00285A71"/>
    <w:rsid w:val="002E10CF"/>
    <w:rsid w:val="00360AA1"/>
    <w:rsid w:val="00362DDE"/>
    <w:rsid w:val="00366D0D"/>
    <w:rsid w:val="003C006E"/>
    <w:rsid w:val="004160EB"/>
    <w:rsid w:val="00487981"/>
    <w:rsid w:val="004C6347"/>
    <w:rsid w:val="0050331A"/>
    <w:rsid w:val="005130A0"/>
    <w:rsid w:val="00530639"/>
    <w:rsid w:val="005417C7"/>
    <w:rsid w:val="00551BDB"/>
    <w:rsid w:val="00576185"/>
    <w:rsid w:val="005C5B19"/>
    <w:rsid w:val="00717127"/>
    <w:rsid w:val="00766035"/>
    <w:rsid w:val="00786629"/>
    <w:rsid w:val="008312F8"/>
    <w:rsid w:val="0083255B"/>
    <w:rsid w:val="008756DC"/>
    <w:rsid w:val="00920588"/>
    <w:rsid w:val="009E2E2C"/>
    <w:rsid w:val="00A0465E"/>
    <w:rsid w:val="00A11633"/>
    <w:rsid w:val="00A754E1"/>
    <w:rsid w:val="00AE4205"/>
    <w:rsid w:val="00B03DAA"/>
    <w:rsid w:val="00B1650D"/>
    <w:rsid w:val="00B70EE8"/>
    <w:rsid w:val="00B7668E"/>
    <w:rsid w:val="00C05DC9"/>
    <w:rsid w:val="00C46B72"/>
    <w:rsid w:val="00C50C44"/>
    <w:rsid w:val="00C87C66"/>
    <w:rsid w:val="00CB4F95"/>
    <w:rsid w:val="00CE23C4"/>
    <w:rsid w:val="00D26997"/>
    <w:rsid w:val="00D96D31"/>
    <w:rsid w:val="00DB30D5"/>
    <w:rsid w:val="00DE26D0"/>
    <w:rsid w:val="00E07A80"/>
    <w:rsid w:val="00E24A88"/>
    <w:rsid w:val="00F1138D"/>
    <w:rsid w:val="00F13279"/>
    <w:rsid w:val="00F27EB3"/>
    <w:rsid w:val="00F45E50"/>
    <w:rsid w:val="00FA009A"/>
    <w:rsid w:val="00FB17B6"/>
    <w:rsid w:val="00FD0BE9"/>
    <w:rsid w:val="018C4675"/>
    <w:rsid w:val="4FF6B756"/>
    <w:rsid w:val="5C6D3E4D"/>
    <w:rsid w:val="67F814CD"/>
    <w:rsid w:val="7CE23813"/>
    <w:rsid w:val="A7EFA62E"/>
    <w:rsid w:val="BFCAC37A"/>
    <w:rsid w:val="DFD1C9A9"/>
    <w:rsid w:val="F0FCB452"/>
    <w:rsid w:val="F23F229B"/>
    <w:rsid w:val="FB394238"/>
    <w:rsid w:val="FDFE3F7D"/>
    <w:rsid w:val="FFA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spacing w:after="160" w:line="259" w:lineRule="auto"/>
    </w:pPr>
    <w:rPr>
      <w:rFonts w:ascii="等线" w:hAnsi="等线" w:eastAsia="等线" w:cs="Times New Roman"/>
      <w:kern w:val="0"/>
      <w:sz w:val="22"/>
    </w:rPr>
  </w:style>
  <w:style w:type="paragraph" w:styleId="3">
    <w:name w:val="Body Text"/>
    <w:basedOn w:val="1"/>
    <w:next w:val="4"/>
    <w:qFormat/>
    <w:uiPriority w:val="0"/>
    <w:pPr>
      <w:spacing w:before="61"/>
      <w:ind w:left="102"/>
    </w:pPr>
    <w:rPr>
      <w:rFonts w:ascii="宋体" w:hAnsi="宋体" w:eastAsia="宋体"/>
      <w:kern w:val="0"/>
      <w:sz w:val="28"/>
      <w:szCs w:val="28"/>
      <w:lang w:eastAsia="en-US"/>
    </w:rPr>
  </w:style>
  <w:style w:type="paragraph" w:styleId="4">
    <w:name w:val="Title"/>
    <w:basedOn w:val="1"/>
    <w:next w:val="1"/>
    <w:qFormat/>
    <w:uiPriority w:val="0"/>
    <w:pPr>
      <w:spacing w:before="240" w:after="60"/>
      <w:jc w:val="center"/>
      <w:outlineLvl w:val="0"/>
    </w:pPr>
    <w:rPr>
      <w:rFonts w:ascii="Cambria" w:hAnsi="Cambria" w:eastAsia="宋体"/>
      <w:b/>
      <w:bCs/>
    </w:rPr>
  </w:style>
  <w:style w:type="paragraph" w:styleId="5">
    <w:name w:val="Balloon Text"/>
    <w:basedOn w:val="1"/>
    <w:link w:val="14"/>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character" w:customStyle="1" w:styleId="11">
    <w:name w:val="页眉 字符"/>
    <w:basedOn w:val="10"/>
    <w:link w:val="7"/>
    <w:qFormat/>
    <w:uiPriority w:val="0"/>
    <w:rPr>
      <w:kern w:val="2"/>
      <w:sz w:val="18"/>
      <w:szCs w:val="18"/>
    </w:rPr>
  </w:style>
  <w:style w:type="character" w:customStyle="1" w:styleId="12">
    <w:name w:val="页脚 字符"/>
    <w:basedOn w:val="10"/>
    <w:link w:val="6"/>
    <w:qFormat/>
    <w:uiPriority w:val="0"/>
    <w:rPr>
      <w:kern w:val="2"/>
      <w:sz w:val="18"/>
      <w:szCs w:val="18"/>
    </w:rPr>
  </w:style>
  <w:style w:type="paragraph" w:styleId="13">
    <w:name w:val="List Paragraph"/>
    <w:basedOn w:val="1"/>
    <w:qFormat/>
    <w:uiPriority w:val="99"/>
    <w:pPr>
      <w:ind w:firstLine="420" w:firstLineChars="200"/>
    </w:pPr>
  </w:style>
  <w:style w:type="character" w:customStyle="1" w:styleId="14">
    <w:name w:val="批注框文本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1490</Words>
  <Characters>8493</Characters>
  <Lines>70</Lines>
  <Paragraphs>19</Paragraphs>
  <TotalTime>1</TotalTime>
  <ScaleCrop>false</ScaleCrop>
  <LinksUpToDate>false</LinksUpToDate>
  <CharactersWithSpaces>9964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2025-01-25T01:08:00Z</dcterms:created>
  <dc:creator>hongxh</dc:creator>
  <cp:lastModifiedBy>zjl</cp:lastModifiedBy>
  <cp:lastPrinted>2025-05-22T09:16:00Z</cp:lastPrinted>
  <dcterms:modified xsi:type="dcterms:W3CDTF">2025-05-29T14:18:24Z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45F33E5890C341F0856085EE26F915C4</vt:lpwstr>
  </property>
</Properties>
</file>