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ascii="黑体" w:hAnsi="黑体" w:eastAsia="黑体" w:cs="黑体"/>
          <w:b/>
          <w:sz w:val="32"/>
          <w:szCs w:val="32"/>
        </w:rPr>
      </w:pPr>
      <w:bookmarkStart w:id="0" w:name="_Hlk160468277"/>
      <w:r>
        <w:rPr>
          <w:rFonts w:hint="eastAsia" w:ascii="黑体" w:hAnsi="黑体" w:eastAsia="黑体" w:cs="黑体"/>
          <w:b/>
          <w:sz w:val="44"/>
          <w:szCs w:val="44"/>
        </w:rPr>
        <w:t>服务类项目采购需求</w:t>
      </w:r>
      <w:bookmarkEnd w:id="0"/>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808"/>
        <w:gridCol w:w="2785"/>
        <w:gridCol w:w="1299"/>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70" w:type="pct"/>
            <w:vAlign w:val="center"/>
          </w:tcPr>
          <w:p>
            <w:pPr>
              <w:widowControl w:val="0"/>
              <w:rPr>
                <w:rFonts w:ascii="仿宋" w:hAnsi="仿宋" w:eastAsia="仿宋" w:cs="仿宋"/>
                <w:szCs w:val="21"/>
              </w:rPr>
            </w:pPr>
            <w:r>
              <w:rPr>
                <w:rFonts w:hint="eastAsia" w:ascii="仿宋" w:hAnsi="仿宋" w:eastAsia="仿宋" w:cs="仿宋"/>
                <w:b/>
                <w:szCs w:val="21"/>
              </w:rPr>
              <w:t>*</w:t>
            </w:r>
            <w:r>
              <w:rPr>
                <w:rFonts w:hint="eastAsia" w:ascii="仿宋" w:hAnsi="仿宋" w:eastAsia="仿宋" w:cs="仿宋"/>
                <w:szCs w:val="21"/>
              </w:rPr>
              <w:t>项目名称</w:t>
            </w:r>
          </w:p>
        </w:tc>
        <w:tc>
          <w:tcPr>
            <w:tcW w:w="4130" w:type="pct"/>
            <w:gridSpan w:val="4"/>
            <w:vAlign w:val="center"/>
          </w:tcPr>
          <w:p>
            <w:pPr>
              <w:widowControl w:val="0"/>
              <w:rPr>
                <w:rFonts w:ascii="仿宋" w:hAnsi="仿宋" w:eastAsia="仿宋" w:cs="仿宋"/>
                <w:szCs w:val="21"/>
              </w:rPr>
            </w:pPr>
            <w:r>
              <w:rPr>
                <w:rFonts w:hint="eastAsia" w:ascii="仿宋" w:hAnsi="仿宋" w:eastAsia="仿宋" w:cs="仿宋"/>
                <w:szCs w:val="21"/>
              </w:rPr>
              <w:t>《2025年深圳市国土空间总体规划实施技术服务》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70" w:type="pct"/>
            <w:vAlign w:val="center"/>
          </w:tcPr>
          <w:p>
            <w:pPr>
              <w:widowControl w:val="0"/>
              <w:rPr>
                <w:rFonts w:ascii="仿宋" w:hAnsi="仿宋" w:eastAsia="仿宋" w:cs="仿宋"/>
                <w:szCs w:val="21"/>
              </w:rPr>
            </w:pPr>
            <w:r>
              <w:rPr>
                <w:rFonts w:hint="eastAsia" w:ascii="仿宋" w:hAnsi="仿宋" w:eastAsia="仿宋" w:cs="仿宋"/>
                <w:b/>
                <w:szCs w:val="21"/>
              </w:rPr>
              <w:t>*</w:t>
            </w:r>
            <w:r>
              <w:rPr>
                <w:rFonts w:hint="eastAsia" w:ascii="仿宋" w:hAnsi="仿宋" w:eastAsia="仿宋" w:cs="仿宋"/>
                <w:szCs w:val="21"/>
              </w:rPr>
              <w:t>采购人名称</w:t>
            </w:r>
          </w:p>
        </w:tc>
        <w:tc>
          <w:tcPr>
            <w:tcW w:w="2108" w:type="pct"/>
            <w:gridSpan w:val="2"/>
            <w:vAlign w:val="center"/>
          </w:tcPr>
          <w:p>
            <w:pPr>
              <w:widowControl w:val="0"/>
              <w:rPr>
                <w:rFonts w:ascii="仿宋" w:hAnsi="仿宋" w:eastAsia="仿宋" w:cs="仿宋"/>
                <w:szCs w:val="21"/>
              </w:rPr>
            </w:pPr>
            <w:r>
              <w:rPr>
                <w:rFonts w:hint="eastAsia" w:ascii="仿宋" w:hAnsi="仿宋" w:eastAsia="仿宋" w:cs="仿宋"/>
                <w:szCs w:val="21"/>
              </w:rPr>
              <w:t>深圳市规划和自然资源局</w:t>
            </w:r>
          </w:p>
        </w:tc>
        <w:tc>
          <w:tcPr>
            <w:tcW w:w="762" w:type="pct"/>
            <w:vAlign w:val="center"/>
          </w:tcPr>
          <w:p>
            <w:pPr>
              <w:widowControl w:val="0"/>
              <w:rPr>
                <w:rFonts w:ascii="仿宋" w:hAnsi="仿宋" w:eastAsia="仿宋" w:cs="仿宋"/>
                <w:szCs w:val="21"/>
              </w:rPr>
            </w:pPr>
            <w:r>
              <w:rPr>
                <w:rFonts w:hint="eastAsia" w:ascii="仿宋" w:hAnsi="仿宋" w:eastAsia="仿宋" w:cs="仿宋"/>
                <w:b/>
                <w:szCs w:val="21"/>
              </w:rPr>
              <w:t>*</w:t>
            </w:r>
            <w:r>
              <w:rPr>
                <w:rFonts w:hint="eastAsia" w:ascii="仿宋" w:hAnsi="仿宋" w:eastAsia="仿宋" w:cs="仿宋"/>
                <w:szCs w:val="21"/>
              </w:rPr>
              <w:t>采购方式</w:t>
            </w:r>
          </w:p>
        </w:tc>
        <w:tc>
          <w:tcPr>
            <w:tcW w:w="1261" w:type="pct"/>
            <w:vAlign w:val="center"/>
          </w:tcPr>
          <w:p>
            <w:pPr>
              <w:widowControl w:val="0"/>
              <w:rPr>
                <w:rFonts w:ascii="仿宋" w:hAnsi="仿宋" w:eastAsia="仿宋" w:cs="仿宋"/>
                <w:szCs w:val="21"/>
              </w:rPr>
            </w:pPr>
            <w:r>
              <w:rPr>
                <w:rFonts w:hint="eastAsia" w:ascii="仿宋" w:hAnsi="仿宋" w:eastAsia="仿宋" w:cs="仿宋"/>
                <w:szCs w:val="21"/>
              </w:rPr>
              <w:t>自行采购（单一来源）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70" w:type="pct"/>
            <w:vAlign w:val="center"/>
          </w:tcPr>
          <w:p>
            <w:pPr>
              <w:widowControl w:val="0"/>
              <w:rPr>
                <w:rFonts w:ascii="仿宋" w:hAnsi="仿宋" w:eastAsia="仿宋" w:cs="仿宋"/>
                <w:szCs w:val="21"/>
              </w:rPr>
            </w:pPr>
            <w:r>
              <w:rPr>
                <w:rFonts w:hint="eastAsia" w:ascii="仿宋" w:hAnsi="仿宋" w:eastAsia="仿宋" w:cs="仿宋"/>
                <w:szCs w:val="21"/>
              </w:rPr>
              <w:t>计划立项批文号</w:t>
            </w:r>
          </w:p>
        </w:tc>
        <w:tc>
          <w:tcPr>
            <w:tcW w:w="2108" w:type="pct"/>
            <w:gridSpan w:val="2"/>
            <w:vAlign w:val="center"/>
          </w:tcPr>
          <w:p>
            <w:pPr>
              <w:widowControl w:val="0"/>
              <w:rPr>
                <w:rFonts w:ascii="仿宋" w:hAnsi="仿宋" w:eastAsia="仿宋" w:cs="仿宋"/>
                <w:szCs w:val="21"/>
              </w:rPr>
            </w:pPr>
          </w:p>
        </w:tc>
        <w:tc>
          <w:tcPr>
            <w:tcW w:w="762" w:type="pct"/>
            <w:vAlign w:val="center"/>
          </w:tcPr>
          <w:p>
            <w:pPr>
              <w:widowControl w:val="0"/>
              <w:rPr>
                <w:rFonts w:ascii="仿宋" w:hAnsi="仿宋" w:eastAsia="仿宋" w:cs="仿宋"/>
                <w:szCs w:val="21"/>
              </w:rPr>
            </w:pPr>
            <w:r>
              <w:rPr>
                <w:rFonts w:hint="eastAsia" w:ascii="仿宋" w:hAnsi="仿宋" w:eastAsia="仿宋" w:cs="仿宋"/>
                <w:b/>
                <w:szCs w:val="21"/>
              </w:rPr>
              <w:t>*</w:t>
            </w:r>
            <w:r>
              <w:rPr>
                <w:rFonts w:hint="eastAsia" w:ascii="仿宋" w:hAnsi="仿宋" w:eastAsia="仿宋" w:cs="仿宋"/>
                <w:szCs w:val="21"/>
              </w:rPr>
              <w:t>资金来源</w:t>
            </w:r>
          </w:p>
        </w:tc>
        <w:tc>
          <w:tcPr>
            <w:tcW w:w="1261" w:type="pct"/>
            <w:vAlign w:val="center"/>
          </w:tcPr>
          <w:p>
            <w:pPr>
              <w:widowControl w:val="0"/>
              <w:rPr>
                <w:rFonts w:ascii="仿宋" w:hAnsi="仿宋" w:eastAsia="仿宋" w:cs="仿宋"/>
                <w:szCs w:val="21"/>
              </w:rPr>
            </w:pPr>
            <w:r>
              <w:rPr>
                <w:rFonts w:hint="eastAsia" w:ascii="仿宋" w:hAnsi="仿宋" w:eastAsia="仿宋" w:cs="仿宋"/>
                <w:szCs w:val="21"/>
              </w:rPr>
              <w:t>一般公共预算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70" w:type="pct"/>
            <w:vAlign w:val="center"/>
          </w:tcPr>
          <w:p>
            <w:pPr>
              <w:widowControl w:val="0"/>
              <w:rPr>
                <w:rFonts w:ascii="仿宋" w:hAnsi="仿宋" w:eastAsia="仿宋" w:cs="仿宋"/>
                <w:szCs w:val="21"/>
              </w:rPr>
            </w:pPr>
            <w:r>
              <w:rPr>
                <w:rFonts w:hint="eastAsia" w:ascii="仿宋" w:hAnsi="仿宋" w:eastAsia="仿宋" w:cs="仿宋"/>
                <w:b/>
                <w:szCs w:val="21"/>
              </w:rPr>
              <w:t>*</w:t>
            </w:r>
            <w:r>
              <w:rPr>
                <w:rFonts w:hint="eastAsia" w:ascii="仿宋" w:hAnsi="仿宋" w:eastAsia="仿宋" w:cs="仿宋"/>
                <w:szCs w:val="21"/>
              </w:rPr>
              <w:t>财政预算限额（元）</w:t>
            </w:r>
          </w:p>
        </w:tc>
        <w:tc>
          <w:tcPr>
            <w:tcW w:w="2108" w:type="pct"/>
            <w:gridSpan w:val="2"/>
            <w:vAlign w:val="center"/>
          </w:tcPr>
          <w:p>
            <w:pPr>
              <w:widowControl w:val="0"/>
              <w:rPr>
                <w:rFonts w:ascii="仿宋" w:hAnsi="仿宋" w:eastAsia="仿宋" w:cs="仿宋"/>
                <w:color w:val="FF0000"/>
                <w:szCs w:val="21"/>
              </w:rPr>
            </w:pPr>
            <w:r>
              <w:rPr>
                <w:rFonts w:ascii="仿宋" w:hAnsi="仿宋" w:eastAsia="仿宋" w:cs="仿宋"/>
                <w:color w:val="auto"/>
                <w:szCs w:val="21"/>
              </w:rPr>
              <w:t>735000</w:t>
            </w:r>
          </w:p>
        </w:tc>
        <w:tc>
          <w:tcPr>
            <w:tcW w:w="762" w:type="pct"/>
            <w:vAlign w:val="center"/>
          </w:tcPr>
          <w:p>
            <w:pPr>
              <w:widowControl w:val="0"/>
              <w:rPr>
                <w:rFonts w:ascii="仿宋" w:hAnsi="仿宋" w:eastAsia="仿宋" w:cs="仿宋"/>
                <w:szCs w:val="21"/>
              </w:rPr>
            </w:pPr>
          </w:p>
        </w:tc>
        <w:tc>
          <w:tcPr>
            <w:tcW w:w="1261" w:type="pct"/>
            <w:vAlign w:val="center"/>
          </w:tcPr>
          <w:p>
            <w:pPr>
              <w:widowContro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70" w:type="pct"/>
            <w:vAlign w:val="center"/>
          </w:tcPr>
          <w:p>
            <w:pPr>
              <w:widowControl w:val="0"/>
              <w:rPr>
                <w:rFonts w:ascii="仿宋" w:hAnsi="仿宋" w:eastAsia="仿宋" w:cs="仿宋"/>
                <w:szCs w:val="21"/>
              </w:rPr>
            </w:pPr>
            <w:r>
              <w:rPr>
                <w:rFonts w:hint="eastAsia" w:ascii="仿宋" w:hAnsi="仿宋" w:eastAsia="仿宋" w:cs="仿宋"/>
                <w:szCs w:val="21"/>
              </w:rPr>
              <w:t>项目背景</w:t>
            </w:r>
          </w:p>
        </w:tc>
        <w:tc>
          <w:tcPr>
            <w:tcW w:w="4130" w:type="pct"/>
            <w:gridSpan w:val="4"/>
            <w:vAlign w:val="center"/>
          </w:tcPr>
          <w:p>
            <w:pPr>
              <w:widowControl w:val="0"/>
              <w:ind w:firstLine="420" w:firstLineChars="200"/>
              <w:jc w:val="both"/>
              <w:rPr>
                <w:rFonts w:ascii="仿宋" w:hAnsi="仿宋" w:eastAsia="仿宋" w:cs="仿宋"/>
                <w:szCs w:val="21"/>
              </w:rPr>
            </w:pPr>
            <w:r>
              <w:rPr>
                <w:rFonts w:hint="eastAsia" w:ascii="仿宋" w:hAnsi="仿宋" w:eastAsia="仿宋" w:cs="仿宋"/>
                <w:szCs w:val="21"/>
              </w:rPr>
              <w:t>（1）落实国家、省、市相关要求的具体措施</w:t>
            </w:r>
          </w:p>
          <w:p>
            <w:pPr>
              <w:widowControl w:val="0"/>
              <w:ind w:firstLine="420" w:firstLineChars="200"/>
              <w:jc w:val="both"/>
              <w:rPr>
                <w:rFonts w:ascii="仿宋" w:hAnsi="仿宋" w:eastAsia="仿宋" w:cs="仿宋"/>
                <w:szCs w:val="21"/>
              </w:rPr>
            </w:pPr>
            <w:r>
              <w:rPr>
                <w:rFonts w:hint="eastAsia" w:ascii="仿宋" w:hAnsi="仿宋" w:eastAsia="仿宋" w:cs="仿宋"/>
                <w:szCs w:val="21"/>
              </w:rPr>
              <w:t>《中共中央、国务院关于建立国土空间规划体系并监督实施的若干意见》提出逐步建立“多规合一”的规划编制审批体系、实施监督体系、法规政策体系和技术标准体系。中共广东省委 广东省人民政府印发《关于建立国土空间规划体系并监督实施的若干措施》提出推动与国土空间规划相关的地方性法规、政府规章立改废释工作，省自然资源厅牵头制定国土空间规划编制审批、实施管理、动态调整和定期评估等政策措施，省有关部门要完善适应主体功能区要求的配套政策，健全生态保护补偿制度，保障国土空间规划有效实施。《深圳市国土空间总体规划（2021-2035年）》提出重构国土空间规划法规体系，构建国土空间规划技术标准体系，为国土空间的高质量发展和高效能治理提供支持。为落实国家、省、市相关工作要求，支撑制定适应我市规划实施管理要求，保障规划有效实施的具体措施，特开展本项目。</w:t>
            </w:r>
          </w:p>
          <w:p>
            <w:pPr>
              <w:widowControl w:val="0"/>
              <w:ind w:firstLine="420" w:firstLineChars="200"/>
              <w:jc w:val="both"/>
              <w:rPr>
                <w:rFonts w:ascii="仿宋" w:hAnsi="仿宋" w:eastAsia="仿宋" w:cs="仿宋"/>
                <w:szCs w:val="21"/>
              </w:rPr>
            </w:pPr>
            <w:r>
              <w:rPr>
                <w:rFonts w:hint="eastAsia" w:ascii="仿宋" w:hAnsi="仿宋" w:eastAsia="仿宋" w:cs="仿宋"/>
                <w:szCs w:val="21"/>
              </w:rPr>
              <w:t>（2）保障我市总体规划城市发展目标实现的重要支撑</w:t>
            </w:r>
          </w:p>
          <w:p>
            <w:pPr>
              <w:widowControl w:val="0"/>
              <w:ind w:firstLine="420" w:firstLineChars="200"/>
              <w:jc w:val="both"/>
              <w:rPr>
                <w:rFonts w:ascii="仿宋" w:hAnsi="仿宋" w:eastAsia="仿宋" w:cs="仿宋"/>
                <w:szCs w:val="21"/>
              </w:rPr>
            </w:pPr>
            <w:r>
              <w:rPr>
                <w:rFonts w:hint="eastAsia" w:ascii="仿宋" w:hAnsi="仿宋" w:eastAsia="仿宋" w:cs="仿宋"/>
                <w:szCs w:val="21"/>
              </w:rPr>
              <w:t>《深圳市国土空间总体规划（2021-2035年）》是深圳经济特区40年以来编制的第四版法定的总体规划，也是国家规划体制改革后第一部覆盖陆海全域和“山水林田湖草”全要素、实现“多规合一”的总体规划；是面向2035年长远发展、统筹全市国土空间资源配置的纲领性文件，是深圳市各类开发保护建设活动的基本依据。本轮总规经国务院批准后，如何做好总规实施管理工作，是关系我市2035年甚至更长远城市发展目标能否实现的重大命题。为规范规划实施管理，保障规划有效实施，促进规划目标实现，更好服务全市社会经济发展，有必要开展本项目。</w:t>
            </w:r>
          </w:p>
          <w:p>
            <w:pPr>
              <w:widowControl w:val="0"/>
              <w:ind w:firstLine="420" w:firstLineChars="200"/>
              <w:jc w:val="both"/>
              <w:rPr>
                <w:rFonts w:ascii="仿宋" w:hAnsi="仿宋" w:eastAsia="仿宋" w:cs="仿宋"/>
                <w:szCs w:val="21"/>
              </w:rPr>
            </w:pPr>
            <w:r>
              <w:rPr>
                <w:rFonts w:hint="eastAsia" w:ascii="仿宋" w:hAnsi="仿宋" w:eastAsia="仿宋" w:cs="仿宋"/>
                <w:szCs w:val="21"/>
              </w:rPr>
              <w:t>（3）总规确定的相关重点内容亟需相应的规范指引进行明确</w:t>
            </w:r>
          </w:p>
          <w:p>
            <w:pPr>
              <w:widowControl w:val="0"/>
              <w:ind w:firstLine="420" w:firstLineChars="200"/>
              <w:jc w:val="both"/>
              <w:rPr>
                <w:rFonts w:ascii="仿宋" w:hAnsi="仿宋" w:eastAsia="仿宋" w:cs="仿宋"/>
                <w:szCs w:val="21"/>
              </w:rPr>
            </w:pPr>
            <w:r>
              <w:rPr>
                <w:rFonts w:hint="eastAsia" w:ascii="仿宋" w:hAnsi="仿宋" w:eastAsia="仿宋" w:cs="仿宋"/>
                <w:szCs w:val="21"/>
              </w:rPr>
              <w:t>本轮总规围绕市-区两级国土空间规划进行了系统重构，划定了永久基本农田、生态保护红线和城镇开发边界三条控制线，作为我市调整经济结构、规划产业发展、推进城镇化不可逾越的红线；首次同步编制市区两级总体规划，逐步完善规划传导管控机制。在国家和省相关规定下，我市总规相关重点内容，如城市空间格局、三条控制线、规划指标等如何在规划管理中落地实施，需相应的技术规则予以明确。因此，本项目是我市总规重要内容传导实施的基本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70" w:type="pct"/>
            <w:vAlign w:val="center"/>
          </w:tcPr>
          <w:p>
            <w:pPr>
              <w:widowControl w:val="0"/>
              <w:rPr>
                <w:rFonts w:ascii="仿宋" w:hAnsi="仿宋" w:eastAsia="仿宋" w:cs="仿宋"/>
                <w:szCs w:val="21"/>
              </w:rPr>
            </w:pPr>
            <w:r>
              <w:rPr>
                <w:rFonts w:hint="eastAsia" w:ascii="仿宋" w:hAnsi="仿宋" w:eastAsia="仿宋" w:cs="仿宋"/>
                <w:szCs w:val="21"/>
              </w:rPr>
              <w:t>项目前期设计、规划论证单位</w:t>
            </w:r>
          </w:p>
        </w:tc>
        <w:tc>
          <w:tcPr>
            <w:tcW w:w="4130" w:type="pct"/>
            <w:gridSpan w:val="4"/>
            <w:vAlign w:val="center"/>
          </w:tcPr>
          <w:p>
            <w:pPr>
              <w:widowControl w:val="0"/>
              <w:rPr>
                <w:rFonts w:ascii="仿宋" w:hAnsi="仿宋" w:eastAsia="仿宋" w:cs="仿宋"/>
                <w:szCs w:val="21"/>
              </w:rPr>
            </w:pPr>
            <w:r>
              <w:rPr>
                <w:rFonts w:hint="eastAsia" w:ascii="仿宋" w:hAnsi="仿宋" w:eastAsia="仿宋" w:cs="仿宋"/>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0" w:type="pct"/>
            <w:vAlign w:val="center"/>
          </w:tcPr>
          <w:p>
            <w:pPr>
              <w:widowControl w:val="0"/>
              <w:jc w:val="center"/>
              <w:rPr>
                <w:rFonts w:ascii="仿宋" w:hAnsi="仿宋" w:eastAsia="仿宋" w:cs="仿宋"/>
                <w:szCs w:val="21"/>
              </w:rPr>
            </w:pPr>
            <w:r>
              <w:rPr>
                <w:rFonts w:hint="eastAsia" w:ascii="仿宋" w:hAnsi="仿宋" w:eastAsia="仿宋" w:cs="仿宋"/>
                <w:kern w:val="0"/>
                <w:szCs w:val="21"/>
              </w:rPr>
              <w:t>投标人资质要求</w:t>
            </w:r>
          </w:p>
        </w:tc>
        <w:tc>
          <w:tcPr>
            <w:tcW w:w="4130" w:type="pct"/>
            <w:gridSpan w:val="4"/>
          </w:tcPr>
          <w:p>
            <w:pPr>
              <w:widowControl w:val="0"/>
              <w:jc w:val="both"/>
              <w:rPr>
                <w:rFonts w:ascii="仿宋" w:hAnsi="仿宋" w:eastAsia="仿宋" w:cs="仿宋"/>
                <w:b/>
                <w:kern w:val="0"/>
                <w:szCs w:val="21"/>
              </w:rPr>
            </w:pPr>
            <w:r>
              <w:rPr>
                <w:rFonts w:hint="eastAsia" w:ascii="仿宋" w:hAnsi="仿宋" w:eastAsia="仿宋" w:cs="仿宋"/>
                <w:b/>
                <w:kern w:val="0"/>
                <w:szCs w:val="21"/>
              </w:rPr>
              <w:t>注意：采购人根据项目所需提供明确、具体的资质要求，资质要求的内容必须与项目等级相匹配且符合相关法律规定。（设置的投标人资格要求必须提交有法律法规依据的证明文件，且不具备倾向性）</w:t>
            </w:r>
          </w:p>
          <w:p>
            <w:pPr>
              <w:widowControl w:val="0"/>
              <w:jc w:val="both"/>
              <w:rPr>
                <w:rFonts w:ascii="仿宋" w:hAnsi="仿宋" w:eastAsia="仿宋" w:cs="仿宋"/>
                <w:kern w:val="0"/>
                <w:szCs w:val="21"/>
              </w:rPr>
            </w:pPr>
            <w:r>
              <w:rPr>
                <w:rFonts w:hint="eastAsia" w:ascii="仿宋" w:hAnsi="仿宋" w:eastAsia="仿宋" w:cs="仿宋"/>
                <w:kern w:val="0"/>
                <w:szCs w:val="21"/>
              </w:rPr>
              <w:t>（</w:t>
            </w:r>
            <w:r>
              <w:rPr>
                <w:rFonts w:ascii="仿宋" w:hAnsi="仿宋" w:eastAsia="仿宋" w:cs="仿宋"/>
                <w:kern w:val="0"/>
                <w:szCs w:val="21"/>
              </w:rPr>
              <w:t>1）具有独立法人资格或具有独立承担民事责任的能力的其它组织（提供营业执照或事业单位法人证等法人证明扫描件，原件备查）。</w:t>
            </w:r>
          </w:p>
          <w:p>
            <w:pPr>
              <w:widowControl w:val="0"/>
              <w:jc w:val="both"/>
              <w:rPr>
                <w:rFonts w:ascii="仿宋" w:hAnsi="仿宋" w:eastAsia="仿宋" w:cs="仿宋"/>
                <w:kern w:val="0"/>
                <w:szCs w:val="21"/>
              </w:rPr>
            </w:pPr>
            <w:r>
              <w:rPr>
                <w:rFonts w:hint="eastAsia" w:ascii="仿宋" w:hAnsi="仿宋" w:eastAsia="仿宋" w:cs="仿宋"/>
                <w:kern w:val="0"/>
                <w:szCs w:val="21"/>
              </w:rPr>
              <w:t>（</w:t>
            </w:r>
            <w:r>
              <w:rPr>
                <w:rFonts w:ascii="仿宋" w:hAnsi="仿宋" w:eastAsia="仿宋" w:cs="仿宋"/>
                <w:kern w:val="0"/>
                <w:szCs w:val="21"/>
              </w:rPr>
              <w:t>2）本项目不接受联合体投标。</w:t>
            </w:r>
          </w:p>
          <w:p>
            <w:pPr>
              <w:widowControl w:val="0"/>
              <w:jc w:val="both"/>
              <w:rPr>
                <w:rFonts w:ascii="仿宋" w:hAnsi="仿宋" w:eastAsia="仿宋" w:cs="仿宋"/>
                <w:kern w:val="0"/>
                <w:szCs w:val="21"/>
              </w:rPr>
            </w:pPr>
            <w:r>
              <w:rPr>
                <w:rFonts w:hint="eastAsia" w:ascii="仿宋" w:hAnsi="仿宋" w:eastAsia="仿宋" w:cs="仿宋"/>
                <w:kern w:val="0"/>
                <w:szCs w:val="21"/>
              </w:rPr>
              <w:t>（</w:t>
            </w:r>
            <w:r>
              <w:rPr>
                <w:rFonts w:ascii="仿宋" w:hAnsi="仿宋" w:eastAsia="仿宋" w:cs="仿宋"/>
                <w:kern w:val="0"/>
                <w:szCs w:val="21"/>
              </w:rPr>
              <w:t>3）参与本项目投标前三年内，在经营活动中没有重大违法记录（由供应商在《政府采购投标及履约承诺函》中作出声明）。</w:t>
            </w:r>
          </w:p>
          <w:p>
            <w:pPr>
              <w:widowControl w:val="0"/>
              <w:jc w:val="both"/>
              <w:rPr>
                <w:rFonts w:ascii="仿宋" w:hAnsi="仿宋" w:eastAsia="仿宋" w:cs="仿宋"/>
                <w:kern w:val="0"/>
                <w:szCs w:val="21"/>
              </w:rPr>
            </w:pPr>
            <w:r>
              <w:rPr>
                <w:rFonts w:hint="eastAsia" w:ascii="仿宋" w:hAnsi="仿宋" w:eastAsia="仿宋" w:cs="仿宋"/>
                <w:kern w:val="0"/>
                <w:szCs w:val="21"/>
              </w:rPr>
              <w:t>（</w:t>
            </w:r>
            <w:r>
              <w:rPr>
                <w:rFonts w:ascii="仿宋" w:hAnsi="仿宋" w:eastAsia="仿宋" w:cs="仿宋"/>
                <w:kern w:val="0"/>
                <w:szCs w:val="21"/>
              </w:rPr>
              <w:t>4）参与本项目政府采购活动时不存在被有关部门禁止参与政府采购活动且在有效期内的情况（由供应商在《政府采购投标及履约承诺函》中作出声明）。</w:t>
            </w:r>
          </w:p>
          <w:p>
            <w:pPr>
              <w:widowControl w:val="0"/>
              <w:jc w:val="both"/>
              <w:rPr>
                <w:rFonts w:ascii="仿宋" w:hAnsi="仿宋" w:eastAsia="仿宋" w:cs="仿宋"/>
                <w:kern w:val="0"/>
                <w:szCs w:val="21"/>
              </w:rPr>
            </w:pPr>
            <w:r>
              <w:rPr>
                <w:rFonts w:hint="eastAsia" w:ascii="仿宋" w:hAnsi="仿宋" w:eastAsia="仿宋" w:cs="仿宋"/>
                <w:kern w:val="0"/>
                <w:szCs w:val="21"/>
              </w:rPr>
              <w:t>（</w:t>
            </w:r>
            <w:r>
              <w:rPr>
                <w:rFonts w:ascii="仿宋" w:hAnsi="仿宋" w:eastAsia="仿宋" w:cs="仿宋"/>
                <w:kern w:val="0"/>
                <w:szCs w:val="21"/>
              </w:rPr>
              <w:t>5）具备《中华人民共和国政府采购法》第二十二条第一款的条件（由供应商在《政府采购投标及履约承诺函》中作出声明）。</w:t>
            </w:r>
          </w:p>
          <w:p>
            <w:pPr>
              <w:widowControl w:val="0"/>
              <w:jc w:val="both"/>
              <w:rPr>
                <w:rFonts w:ascii="仿宋" w:hAnsi="仿宋" w:eastAsia="仿宋" w:cs="仿宋"/>
                <w:kern w:val="0"/>
                <w:szCs w:val="21"/>
              </w:rPr>
            </w:pPr>
            <w:r>
              <w:rPr>
                <w:rFonts w:hint="eastAsia" w:ascii="仿宋" w:hAnsi="仿宋" w:eastAsia="仿宋" w:cs="仿宋"/>
                <w:kern w:val="0"/>
                <w:szCs w:val="21"/>
              </w:rPr>
              <w:t>（</w:t>
            </w:r>
            <w:r>
              <w:rPr>
                <w:rFonts w:ascii="仿宋" w:hAnsi="仿宋" w:eastAsia="仿宋" w:cs="仿宋"/>
                <w:kern w:val="0"/>
                <w:szCs w:val="21"/>
              </w:rPr>
              <w:t>6）未被列入失信被执行人、重大税收违法案件当事人名单、政府采购严重违法失信行为记录名单（由供应商在《政府采购投标及履约承诺函》中作出声明）。</w:t>
            </w:r>
          </w:p>
          <w:p>
            <w:pPr>
              <w:widowControl w:val="0"/>
              <w:jc w:val="both"/>
              <w:rPr>
                <w:rFonts w:ascii="仿宋" w:hAnsi="仿宋" w:eastAsia="仿宋" w:cs="仿宋"/>
                <w:b/>
                <w:kern w:val="0"/>
                <w:szCs w:val="21"/>
              </w:rPr>
            </w:pPr>
            <w:r>
              <w:rPr>
                <w:rFonts w:hint="eastAsia" w:ascii="仿宋" w:hAnsi="仿宋" w:eastAsia="仿宋" w:cs="仿宋"/>
                <w:kern w:val="0"/>
                <w:szCs w:val="21"/>
              </w:rPr>
              <w:t>注：“信用中国”、“中国政府采购网”以及“深圳市政府采购监管网”为供应商信用信息的查询渠道，相关信息以开标当日的查询结果为准。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70" w:type="pct"/>
            <w:vAlign w:val="center"/>
          </w:tcPr>
          <w:p>
            <w:pPr>
              <w:widowControl w:val="0"/>
              <w:jc w:val="center"/>
              <w:rPr>
                <w:rFonts w:ascii="仿宋" w:hAnsi="仿宋" w:eastAsia="仿宋" w:cs="仿宋"/>
                <w:kern w:val="0"/>
                <w:szCs w:val="21"/>
              </w:rPr>
            </w:pPr>
            <w:r>
              <w:rPr>
                <w:rFonts w:hint="eastAsia" w:ascii="仿宋" w:hAnsi="仿宋" w:eastAsia="仿宋" w:cs="仿宋"/>
                <w:bCs/>
                <w:szCs w:val="21"/>
              </w:rPr>
              <w:t>需求内容</w:t>
            </w:r>
          </w:p>
        </w:tc>
        <w:tc>
          <w:tcPr>
            <w:tcW w:w="4130" w:type="pct"/>
            <w:gridSpan w:val="4"/>
          </w:tcPr>
          <w:p>
            <w:pPr>
              <w:widowControl w:val="0"/>
              <w:jc w:val="both"/>
              <w:rPr>
                <w:rFonts w:ascii="仿宋" w:hAnsi="仿宋" w:eastAsia="仿宋" w:cs="仿宋"/>
                <w:kern w:val="0"/>
                <w:szCs w:val="21"/>
              </w:rPr>
            </w:pPr>
            <w:r>
              <w:rPr>
                <w:rFonts w:hint="eastAsia" w:ascii="仿宋" w:hAnsi="仿宋" w:eastAsia="仿宋" w:cs="仿宋"/>
                <w:kern w:val="0"/>
                <w:szCs w:val="21"/>
              </w:rPr>
              <w:t>*1、报价要求（明确分项报价要求）</w:t>
            </w:r>
          </w:p>
          <w:p>
            <w:pPr>
              <w:widowControl w:val="0"/>
              <w:jc w:val="both"/>
              <w:rPr>
                <w:rFonts w:ascii="仿宋" w:hAnsi="仿宋" w:eastAsia="仿宋" w:cs="仿宋"/>
                <w:kern w:val="0"/>
                <w:szCs w:val="21"/>
              </w:rPr>
            </w:pPr>
            <w:r>
              <w:rPr>
                <w:rFonts w:hint="eastAsia" w:ascii="仿宋" w:hAnsi="仿宋" w:eastAsia="仿宋" w:cs="仿宋"/>
                <w:kern w:val="0"/>
                <w:szCs w:val="21"/>
              </w:rPr>
              <w:t>（</w:t>
            </w:r>
            <w:r>
              <w:rPr>
                <w:rFonts w:ascii="仿宋" w:hAnsi="仿宋" w:eastAsia="仿宋" w:cs="仿宋"/>
                <w:kern w:val="0"/>
                <w:szCs w:val="21"/>
              </w:rPr>
              <w:t>1）</w:t>
            </w:r>
            <w:bookmarkStart w:id="1" w:name="OLE_LINK1"/>
            <w:r>
              <w:rPr>
                <w:rFonts w:ascii="仿宋" w:hAnsi="仿宋" w:eastAsia="仿宋" w:cs="仿宋"/>
                <w:kern w:val="0"/>
                <w:szCs w:val="21"/>
              </w:rPr>
              <w:t>投标人不得以低于企业成本的报价竞标</w:t>
            </w:r>
            <w:bookmarkEnd w:id="1"/>
            <w:r>
              <w:rPr>
                <w:rFonts w:ascii="仿宋" w:hAnsi="仿宋" w:eastAsia="仿宋" w:cs="仿宋"/>
                <w:kern w:val="0"/>
                <w:szCs w:val="21"/>
              </w:rPr>
              <w:t>；</w:t>
            </w:r>
          </w:p>
          <w:p>
            <w:pPr>
              <w:pStyle w:val="2"/>
              <w:ind w:left="0"/>
              <w:rPr>
                <w:rFonts w:ascii="仿宋" w:hAnsi="仿宋" w:eastAsia="仿宋" w:cs="仿宋"/>
                <w:color w:val="auto"/>
                <w:sz w:val="21"/>
                <w:szCs w:val="21"/>
                <w:lang w:eastAsia="zh-CN"/>
              </w:rPr>
            </w:pPr>
            <w:r>
              <w:rPr>
                <w:rFonts w:hint="eastAsia" w:ascii="仿宋" w:hAnsi="仿宋" w:eastAsia="仿宋" w:cs="仿宋"/>
                <w:color w:val="auto"/>
                <w:sz w:val="21"/>
                <w:szCs w:val="21"/>
                <w:lang w:eastAsia="zh-CN"/>
              </w:rPr>
              <w:t>（2）本项目招标预算价为7</w:t>
            </w:r>
            <w:r>
              <w:rPr>
                <w:rFonts w:ascii="仿宋" w:hAnsi="仿宋" w:eastAsia="仿宋" w:cs="仿宋"/>
                <w:color w:val="auto"/>
                <w:sz w:val="21"/>
                <w:szCs w:val="21"/>
                <w:lang w:eastAsia="zh-CN"/>
              </w:rPr>
              <w:t>35000</w:t>
            </w:r>
            <w:r>
              <w:rPr>
                <w:rFonts w:hint="eastAsia" w:ascii="仿宋" w:hAnsi="仿宋" w:eastAsia="仿宋" w:cs="仿宋"/>
                <w:color w:val="auto"/>
                <w:sz w:val="21"/>
                <w:szCs w:val="21"/>
                <w:lang w:eastAsia="zh-CN"/>
              </w:rPr>
              <w:t>元（大写：柒拾叁万伍仟元），投标报价不得超过项目预算价7</w:t>
            </w:r>
            <w:r>
              <w:rPr>
                <w:rFonts w:ascii="仿宋" w:hAnsi="仿宋" w:eastAsia="仿宋" w:cs="仿宋"/>
                <w:color w:val="auto"/>
                <w:sz w:val="21"/>
                <w:szCs w:val="21"/>
                <w:lang w:eastAsia="zh-CN"/>
              </w:rPr>
              <w:t>35000</w:t>
            </w:r>
            <w:r>
              <w:rPr>
                <w:rFonts w:hint="eastAsia" w:ascii="仿宋" w:hAnsi="仿宋" w:eastAsia="仿宋" w:cs="仿宋"/>
                <w:color w:val="auto"/>
                <w:sz w:val="21"/>
                <w:szCs w:val="21"/>
                <w:lang w:eastAsia="zh-CN"/>
              </w:rPr>
              <w:t>元</w:t>
            </w:r>
            <w:r>
              <w:rPr>
                <w:rFonts w:ascii="仿宋" w:hAnsi="仿宋" w:eastAsia="仿宋" w:cs="仿宋"/>
                <w:color w:val="auto"/>
                <w:sz w:val="21"/>
                <w:szCs w:val="21"/>
                <w:lang w:eastAsia="zh-CN"/>
              </w:rPr>
              <w:t>的90%，即最</w:t>
            </w:r>
            <w:bookmarkStart w:id="4" w:name="_GoBack"/>
            <w:bookmarkEnd w:id="4"/>
            <w:r>
              <w:rPr>
                <w:rFonts w:ascii="仿宋" w:hAnsi="仿宋" w:eastAsia="仿宋" w:cs="仿宋"/>
                <w:color w:val="auto"/>
                <w:sz w:val="21"/>
                <w:szCs w:val="21"/>
                <w:lang w:eastAsia="zh-CN"/>
              </w:rPr>
              <w:t>高限价为661500元</w:t>
            </w:r>
            <w:r>
              <w:rPr>
                <w:rFonts w:hint="eastAsia" w:ascii="仿宋" w:hAnsi="仿宋" w:eastAsia="仿宋" w:cs="仿宋"/>
                <w:color w:val="auto"/>
                <w:sz w:val="21"/>
                <w:szCs w:val="21"/>
                <w:lang w:eastAsia="zh-CN"/>
              </w:rPr>
              <w:t>。</w:t>
            </w:r>
          </w:p>
          <w:p>
            <w:pPr>
              <w:widowControl w:val="0"/>
              <w:jc w:val="both"/>
              <w:rPr>
                <w:rFonts w:ascii="仿宋" w:hAnsi="仿宋" w:eastAsia="仿宋" w:cs="仿宋"/>
                <w:kern w:val="0"/>
                <w:szCs w:val="21"/>
              </w:rPr>
            </w:pPr>
            <w:r>
              <w:rPr>
                <w:rFonts w:hint="eastAsia" w:ascii="仿宋" w:hAnsi="仿宋" w:eastAsia="仿宋" w:cs="仿宋"/>
                <w:kern w:val="0"/>
                <w:szCs w:val="21"/>
              </w:rPr>
              <w:t>（3</w:t>
            </w:r>
            <w:r>
              <w:rPr>
                <w:rFonts w:ascii="仿宋" w:hAnsi="仿宋" w:eastAsia="仿宋" w:cs="仿宋"/>
                <w:kern w:val="0"/>
                <w:szCs w:val="21"/>
              </w:rPr>
              <w:t>）投标单位提供报价详细清单（含报价依据和详细计算过程）；</w:t>
            </w:r>
          </w:p>
          <w:p>
            <w:pPr>
              <w:widowControl w:val="0"/>
              <w:jc w:val="both"/>
              <w:rPr>
                <w:rFonts w:ascii="仿宋" w:hAnsi="仿宋" w:eastAsia="仿宋" w:cs="仿宋"/>
                <w:kern w:val="0"/>
                <w:szCs w:val="21"/>
              </w:rPr>
            </w:pPr>
            <w:r>
              <w:rPr>
                <w:rFonts w:hint="eastAsia" w:ascii="仿宋" w:hAnsi="仿宋" w:eastAsia="仿宋" w:cs="仿宋"/>
                <w:kern w:val="0"/>
                <w:szCs w:val="21"/>
              </w:rPr>
              <w:t>（4</w:t>
            </w:r>
            <w:r>
              <w:rPr>
                <w:rFonts w:ascii="仿宋" w:hAnsi="仿宋" w:eastAsia="仿宋" w:cs="仿宋"/>
                <w:kern w:val="0"/>
                <w:szCs w:val="21"/>
              </w:rPr>
              <w:t>）在合同实施期间，服务费用不随国家政策或法规、标准及市场因素的变化而进行调整。</w:t>
            </w:r>
          </w:p>
          <w:p>
            <w:pPr>
              <w:widowControl w:val="0"/>
              <w:jc w:val="both"/>
              <w:rPr>
                <w:rFonts w:ascii="仿宋" w:hAnsi="仿宋" w:eastAsia="仿宋" w:cs="仿宋"/>
                <w:color w:val="FF0000"/>
                <w:kern w:val="0"/>
                <w:szCs w:val="21"/>
              </w:rPr>
            </w:pPr>
            <w:r>
              <w:rPr>
                <w:rFonts w:hint="eastAsia" w:ascii="仿宋" w:hAnsi="仿宋" w:eastAsia="仿宋" w:cs="仿宋"/>
                <w:kern w:val="0"/>
                <w:szCs w:val="21"/>
              </w:rPr>
              <w:t>*2、付款方式</w:t>
            </w:r>
          </w:p>
          <w:p>
            <w:pPr>
              <w:widowControl w:val="0"/>
              <w:jc w:val="both"/>
              <w:rPr>
                <w:rFonts w:ascii="仿宋" w:hAnsi="仿宋" w:eastAsia="仿宋" w:cs="仿宋"/>
                <w:kern w:val="0"/>
                <w:szCs w:val="21"/>
              </w:rPr>
            </w:pPr>
            <w:r>
              <w:rPr>
                <w:rFonts w:hint="eastAsia" w:ascii="仿宋" w:hAnsi="仿宋" w:eastAsia="仿宋" w:cs="仿宋"/>
                <w:kern w:val="0"/>
                <w:szCs w:val="21"/>
              </w:rPr>
              <w:t>项目按合同相关规定进行分期付款。</w:t>
            </w:r>
          </w:p>
          <w:p>
            <w:pPr>
              <w:widowControl w:val="0"/>
              <w:jc w:val="both"/>
              <w:rPr>
                <w:rFonts w:ascii="仿宋" w:hAnsi="仿宋" w:eastAsia="仿宋" w:cs="仿宋"/>
                <w:kern w:val="0"/>
                <w:szCs w:val="21"/>
              </w:rPr>
            </w:pPr>
            <w:r>
              <w:rPr>
                <w:rFonts w:hint="eastAsia" w:ascii="仿宋" w:hAnsi="仿宋" w:eastAsia="仿宋" w:cs="仿宋"/>
                <w:kern w:val="0"/>
                <w:szCs w:val="21"/>
              </w:rPr>
              <w:t>（</w:t>
            </w:r>
            <w:r>
              <w:rPr>
                <w:rFonts w:ascii="仿宋" w:hAnsi="仿宋" w:eastAsia="仿宋" w:cs="仿宋"/>
                <w:kern w:val="0"/>
                <w:szCs w:val="21"/>
              </w:rPr>
              <w:t>1）自双方签订合同之日起10个工作日内，中标人提交工作方案，并通过采购方主管处室审查后，根据中标人付款申请，采购方向中标人支付合同总费用的</w:t>
            </w:r>
            <w:r>
              <w:rPr>
                <w:rFonts w:hint="eastAsia" w:ascii="仿宋" w:hAnsi="仿宋" w:eastAsia="仿宋" w:cs="仿宋"/>
                <w:kern w:val="0"/>
                <w:szCs w:val="21"/>
              </w:rPr>
              <w:t>4</w:t>
            </w:r>
            <w:r>
              <w:rPr>
                <w:rFonts w:ascii="仿宋" w:hAnsi="仿宋" w:eastAsia="仿宋" w:cs="仿宋"/>
                <w:kern w:val="0"/>
                <w:szCs w:val="21"/>
              </w:rPr>
              <w:t>0%；</w:t>
            </w:r>
          </w:p>
          <w:p>
            <w:pPr>
              <w:widowControl w:val="0"/>
              <w:jc w:val="both"/>
              <w:rPr>
                <w:rFonts w:ascii="仿宋" w:hAnsi="仿宋" w:eastAsia="仿宋" w:cs="仿宋"/>
                <w:kern w:val="0"/>
                <w:szCs w:val="21"/>
              </w:rPr>
            </w:pPr>
            <w:r>
              <w:rPr>
                <w:rFonts w:hint="eastAsia" w:ascii="仿宋" w:hAnsi="仿宋" w:eastAsia="仿宋" w:cs="仿宋"/>
                <w:kern w:val="0"/>
                <w:szCs w:val="21"/>
              </w:rPr>
              <w:t>（</w:t>
            </w:r>
            <w:r>
              <w:rPr>
                <w:rFonts w:ascii="仿宋" w:hAnsi="仿宋" w:eastAsia="仿宋" w:cs="仿宋"/>
                <w:kern w:val="0"/>
                <w:szCs w:val="21"/>
              </w:rPr>
              <w:t>2）中标人完成</w:t>
            </w:r>
            <w:r>
              <w:rPr>
                <w:rFonts w:hint="eastAsia" w:ascii="仿宋" w:hAnsi="仿宋" w:eastAsia="仿宋" w:cs="仿宋"/>
                <w:kern w:val="0"/>
                <w:szCs w:val="21"/>
              </w:rPr>
              <w:t>中间</w:t>
            </w:r>
            <w:r>
              <w:rPr>
                <w:rFonts w:ascii="仿宋" w:hAnsi="仿宋" w:eastAsia="仿宋" w:cs="仿宋"/>
                <w:kern w:val="0"/>
                <w:szCs w:val="21"/>
              </w:rPr>
              <w:t>成果，并通过采购方主管处室审查后，根据中标人付款申请，采购方向中标人支付合同总费用的</w:t>
            </w:r>
            <w:r>
              <w:rPr>
                <w:rFonts w:hint="eastAsia" w:ascii="仿宋" w:hAnsi="仿宋" w:eastAsia="仿宋" w:cs="仿宋"/>
                <w:kern w:val="0"/>
                <w:szCs w:val="21"/>
              </w:rPr>
              <w:t>4</w:t>
            </w:r>
            <w:r>
              <w:rPr>
                <w:rFonts w:ascii="仿宋" w:hAnsi="仿宋" w:eastAsia="仿宋" w:cs="仿宋"/>
                <w:kern w:val="0"/>
                <w:szCs w:val="21"/>
              </w:rPr>
              <w:t>0%；</w:t>
            </w:r>
          </w:p>
          <w:p>
            <w:pPr>
              <w:widowControl w:val="0"/>
              <w:jc w:val="both"/>
              <w:rPr>
                <w:rFonts w:ascii="仿宋" w:hAnsi="仿宋" w:eastAsia="仿宋" w:cs="仿宋"/>
                <w:kern w:val="0"/>
                <w:szCs w:val="21"/>
              </w:rPr>
            </w:pPr>
            <w:r>
              <w:rPr>
                <w:rFonts w:hint="eastAsia" w:ascii="仿宋" w:hAnsi="仿宋" w:eastAsia="仿宋" w:cs="仿宋"/>
                <w:kern w:val="0"/>
                <w:szCs w:val="21"/>
              </w:rPr>
              <w:t>（3</w:t>
            </w:r>
            <w:r>
              <w:rPr>
                <w:rFonts w:ascii="仿宋" w:hAnsi="仿宋" w:eastAsia="仿宋" w:cs="仿宋"/>
                <w:kern w:val="0"/>
                <w:szCs w:val="21"/>
              </w:rPr>
              <w:t>）中标人提交全部成果，并通过采购方业务会审查后，根据中标人付款申请，采购方向中标人支付合同总费用的</w:t>
            </w:r>
            <w:r>
              <w:rPr>
                <w:rFonts w:hint="eastAsia" w:ascii="仿宋" w:hAnsi="仿宋" w:eastAsia="仿宋" w:cs="仿宋"/>
                <w:kern w:val="0"/>
                <w:szCs w:val="21"/>
              </w:rPr>
              <w:t>2</w:t>
            </w:r>
            <w:r>
              <w:rPr>
                <w:rFonts w:ascii="仿宋" w:hAnsi="仿宋" w:eastAsia="仿宋" w:cs="仿宋"/>
                <w:kern w:val="0"/>
                <w:szCs w:val="21"/>
              </w:rPr>
              <w:t>0%。</w:t>
            </w:r>
          </w:p>
          <w:p>
            <w:pPr>
              <w:widowControl w:val="0"/>
              <w:jc w:val="both"/>
              <w:rPr>
                <w:rFonts w:ascii="仿宋" w:hAnsi="仿宋" w:eastAsia="仿宋" w:cs="仿宋"/>
                <w:kern w:val="0"/>
                <w:szCs w:val="21"/>
              </w:rPr>
            </w:pPr>
            <w:r>
              <w:rPr>
                <w:rFonts w:hint="eastAsia" w:ascii="仿宋" w:hAnsi="仿宋" w:eastAsia="仿宋" w:cs="仿宋"/>
                <w:kern w:val="0"/>
                <w:szCs w:val="21"/>
              </w:rPr>
              <w:t>*3、履约保证金</w:t>
            </w:r>
          </w:p>
          <w:p>
            <w:pPr>
              <w:pStyle w:val="2"/>
              <w:jc w:val="both"/>
              <w:rPr>
                <w:rFonts w:ascii="仿宋" w:hAnsi="仿宋" w:eastAsia="仿宋" w:cs="仿宋"/>
                <w:sz w:val="21"/>
                <w:szCs w:val="21"/>
                <w:lang w:eastAsia="zh-CN"/>
              </w:rPr>
            </w:pPr>
            <w:r>
              <w:rPr>
                <w:rFonts w:hint="eastAsia" w:ascii="仿宋" w:hAnsi="仿宋" w:eastAsia="仿宋" w:cs="仿宋"/>
                <w:sz w:val="21"/>
                <w:szCs w:val="21"/>
                <w:lang w:eastAsia="zh-CN"/>
              </w:rPr>
              <w:t>无</w:t>
            </w:r>
          </w:p>
          <w:p>
            <w:pPr>
              <w:widowControl w:val="0"/>
              <w:jc w:val="both"/>
              <w:rPr>
                <w:rFonts w:ascii="仿宋" w:hAnsi="仿宋" w:eastAsia="仿宋" w:cs="仿宋"/>
                <w:kern w:val="0"/>
                <w:szCs w:val="21"/>
              </w:rPr>
            </w:pPr>
            <w:r>
              <w:rPr>
                <w:rFonts w:hint="eastAsia" w:ascii="仿宋" w:hAnsi="仿宋" w:eastAsia="仿宋" w:cs="仿宋"/>
                <w:kern w:val="0"/>
                <w:szCs w:val="21"/>
              </w:rPr>
              <w:t>*4、违约责任</w:t>
            </w:r>
          </w:p>
          <w:p>
            <w:pPr>
              <w:widowControl w:val="0"/>
              <w:jc w:val="both"/>
              <w:rPr>
                <w:rFonts w:ascii="仿宋" w:hAnsi="仿宋" w:eastAsia="仿宋" w:cs="仿宋"/>
                <w:kern w:val="0"/>
                <w:szCs w:val="21"/>
              </w:rPr>
            </w:pPr>
            <w:r>
              <w:rPr>
                <w:rFonts w:hint="eastAsia" w:ascii="仿宋" w:hAnsi="仿宋" w:eastAsia="仿宋" w:cs="仿宋"/>
                <w:kern w:val="0"/>
                <w:szCs w:val="21"/>
              </w:rPr>
              <w:t>以合同约定为准</w:t>
            </w:r>
          </w:p>
          <w:p>
            <w:pPr>
              <w:widowControl w:val="0"/>
              <w:jc w:val="both"/>
              <w:rPr>
                <w:rFonts w:ascii="仿宋" w:hAnsi="仿宋" w:eastAsia="仿宋" w:cs="仿宋"/>
                <w:kern w:val="0"/>
                <w:szCs w:val="21"/>
              </w:rPr>
            </w:pPr>
            <w:r>
              <w:rPr>
                <w:rFonts w:hint="eastAsia" w:ascii="仿宋" w:hAnsi="仿宋" w:eastAsia="仿宋" w:cs="仿宋"/>
                <w:kern w:val="0"/>
                <w:szCs w:val="21"/>
              </w:rPr>
              <w:t>*5、服务质量监督和项目验收要求</w:t>
            </w:r>
          </w:p>
          <w:p>
            <w:pPr>
              <w:widowControl w:val="0"/>
              <w:jc w:val="both"/>
            </w:pPr>
            <w:r>
              <w:rPr>
                <w:rFonts w:hint="eastAsia" w:ascii="仿宋" w:hAnsi="仿宋" w:eastAsia="仿宋" w:cs="仿宋"/>
                <w:kern w:val="0"/>
                <w:szCs w:val="21"/>
              </w:rPr>
              <w:t>由深圳市规划和自然资源局专题会对中标人完成的项目成果进行验收。深圳市规划和自然资源局出具通过验收的意见或凭证。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870" w:type="pct"/>
            <w:vAlign w:val="center"/>
          </w:tcPr>
          <w:p>
            <w:pPr>
              <w:widowControl w:val="0"/>
              <w:jc w:val="center"/>
              <w:rPr>
                <w:rFonts w:ascii="仿宋" w:hAnsi="仿宋" w:eastAsia="仿宋" w:cs="仿宋"/>
                <w:kern w:val="0"/>
                <w:szCs w:val="21"/>
              </w:rPr>
            </w:pPr>
            <w:r>
              <w:rPr>
                <w:rFonts w:hint="eastAsia" w:ascii="仿宋" w:hAnsi="仿宋" w:eastAsia="仿宋" w:cs="仿宋"/>
                <w:kern w:val="0"/>
                <w:szCs w:val="21"/>
              </w:rPr>
              <w:t>具体技术要求</w:t>
            </w:r>
          </w:p>
        </w:tc>
        <w:tc>
          <w:tcPr>
            <w:tcW w:w="4130" w:type="pct"/>
            <w:gridSpan w:val="4"/>
          </w:tcPr>
          <w:p>
            <w:pPr>
              <w:widowControl w:val="0"/>
              <w:jc w:val="both"/>
              <w:rPr>
                <w:rFonts w:ascii="仿宋" w:hAnsi="仿宋" w:eastAsia="仿宋" w:cs="仿宋"/>
                <w:kern w:val="0"/>
                <w:szCs w:val="21"/>
              </w:rPr>
            </w:pPr>
            <w:r>
              <w:rPr>
                <w:rFonts w:hint="eastAsia" w:ascii="仿宋" w:hAnsi="仿宋" w:eastAsia="仿宋" w:cs="仿宋"/>
                <w:kern w:val="0"/>
                <w:szCs w:val="21"/>
              </w:rPr>
              <w:t xml:space="preserve">注意：提供服务总体要求、服务标的（如人员、车辆、检测对象、管理对象）数量情况、详细具体的服务需求内容及工作量情况（以能给供应商准确的报价依据，使不同供应商的项目报价不至于差距过大作为判断需求“详细具体”的标准） </w:t>
            </w:r>
          </w:p>
          <w:p>
            <w:pPr>
              <w:widowControl w:val="0"/>
              <w:numPr>
                <w:ilvl w:val="0"/>
                <w:numId w:val="1"/>
              </w:numPr>
              <w:jc w:val="both"/>
              <w:rPr>
                <w:rFonts w:ascii="仿宋" w:hAnsi="仿宋" w:eastAsia="仿宋" w:cs="仿宋"/>
                <w:kern w:val="0"/>
                <w:szCs w:val="21"/>
              </w:rPr>
            </w:pPr>
            <w:r>
              <w:rPr>
                <w:rFonts w:hint="eastAsia" w:ascii="仿宋" w:hAnsi="仿宋" w:eastAsia="仿宋" w:cs="仿宋"/>
                <w:kern w:val="0"/>
                <w:szCs w:val="21"/>
              </w:rPr>
              <w:t xml:space="preserve">总体要求  </w:t>
            </w:r>
          </w:p>
          <w:p>
            <w:pPr>
              <w:widowControl w:val="0"/>
              <w:ind w:firstLine="420" w:firstLineChars="200"/>
              <w:jc w:val="both"/>
              <w:rPr>
                <w:rFonts w:ascii="仿宋" w:hAnsi="仿宋" w:eastAsia="仿宋" w:cs="仿宋"/>
                <w:kern w:val="0"/>
                <w:szCs w:val="21"/>
              </w:rPr>
            </w:pPr>
            <w:r>
              <w:rPr>
                <w:rFonts w:hint="eastAsia" w:ascii="仿宋" w:hAnsi="仿宋" w:eastAsia="仿宋" w:cs="仿宋"/>
                <w:kern w:val="0"/>
                <w:szCs w:val="21"/>
              </w:rPr>
              <w:t>（1）根据国家、省、市颁布的相关法律法规、规章和规范性文件要求，并结合深圳市的实际情况开展规划实施技术支撑服务工作；</w:t>
            </w:r>
          </w:p>
          <w:p>
            <w:pPr>
              <w:widowControl w:val="0"/>
              <w:ind w:firstLine="420" w:firstLineChars="200"/>
              <w:jc w:val="both"/>
              <w:rPr>
                <w:rFonts w:ascii="仿宋" w:hAnsi="仿宋" w:eastAsia="仿宋" w:cs="仿宋"/>
                <w:kern w:val="0"/>
                <w:szCs w:val="21"/>
              </w:rPr>
            </w:pPr>
            <w:r>
              <w:rPr>
                <w:rFonts w:hint="eastAsia" w:ascii="仿宋" w:hAnsi="仿宋" w:eastAsia="仿宋" w:cs="仿宋"/>
                <w:kern w:val="0"/>
                <w:szCs w:val="21"/>
              </w:rPr>
              <w:t>（2）及时、准确地更新规划数据库，保证规划数据库的科学性和合理性；</w:t>
            </w:r>
          </w:p>
          <w:p>
            <w:pPr>
              <w:widowControl w:val="0"/>
              <w:ind w:firstLine="420" w:firstLineChars="200"/>
              <w:jc w:val="both"/>
              <w:rPr>
                <w:rFonts w:ascii="仿宋" w:hAnsi="仿宋" w:eastAsia="仿宋" w:cs="仿宋"/>
                <w:kern w:val="0"/>
                <w:szCs w:val="21"/>
              </w:rPr>
            </w:pPr>
            <w:r>
              <w:rPr>
                <w:rFonts w:hint="eastAsia" w:ascii="仿宋" w:hAnsi="仿宋" w:eastAsia="仿宋" w:cs="仿宋"/>
                <w:kern w:val="0"/>
                <w:szCs w:val="21"/>
              </w:rPr>
              <w:t>（3）与相关规划相协调，保证成果合理性。</w:t>
            </w:r>
          </w:p>
          <w:p>
            <w:pPr>
              <w:widowControl w:val="0"/>
              <w:ind w:firstLine="420" w:firstLineChars="200"/>
              <w:jc w:val="both"/>
              <w:rPr>
                <w:rFonts w:ascii="仿宋" w:hAnsi="仿宋" w:eastAsia="仿宋" w:cs="仿宋"/>
                <w:kern w:val="0"/>
                <w:szCs w:val="21"/>
              </w:rPr>
            </w:pPr>
            <w:r>
              <w:rPr>
                <w:rFonts w:hint="eastAsia" w:ascii="仿宋" w:hAnsi="仿宋" w:eastAsia="仿宋" w:cs="仿宋"/>
                <w:kern w:val="0"/>
                <w:szCs w:val="21"/>
              </w:rPr>
              <w:t>（4）规划编制应充分论证，多方征求意见，保证成果科学性。</w:t>
            </w:r>
          </w:p>
          <w:p>
            <w:pPr>
              <w:widowControl w:val="0"/>
              <w:numPr>
                <w:ilvl w:val="0"/>
                <w:numId w:val="1"/>
              </w:numPr>
              <w:jc w:val="both"/>
              <w:rPr>
                <w:rFonts w:ascii="仿宋" w:hAnsi="仿宋" w:eastAsia="仿宋" w:cs="仿宋"/>
                <w:kern w:val="0"/>
                <w:szCs w:val="21"/>
              </w:rPr>
            </w:pPr>
            <w:r>
              <w:rPr>
                <w:rFonts w:hint="eastAsia" w:ascii="仿宋" w:hAnsi="仿宋" w:eastAsia="仿宋" w:cs="仿宋"/>
                <w:kern w:val="0"/>
                <w:szCs w:val="21"/>
              </w:rPr>
              <w:t>项目依据</w:t>
            </w:r>
          </w:p>
          <w:p>
            <w:pPr>
              <w:widowControl w:val="0"/>
              <w:ind w:firstLine="420" w:firstLineChars="200"/>
              <w:jc w:val="both"/>
              <w:rPr>
                <w:rFonts w:ascii="仿宋" w:hAnsi="仿宋" w:eastAsia="仿宋" w:cs="仿宋"/>
                <w:kern w:val="0"/>
                <w:szCs w:val="21"/>
              </w:rPr>
            </w:pPr>
            <w:r>
              <w:rPr>
                <w:rFonts w:hint="eastAsia" w:ascii="仿宋" w:hAnsi="仿宋" w:eastAsia="仿宋" w:cs="仿宋"/>
                <w:kern w:val="0"/>
                <w:szCs w:val="21"/>
              </w:rPr>
              <w:t>（1）《中共中央 国务院关于建立国土空间规划体系并监督实施的若干意见》（中发〔2019〕18号）</w:t>
            </w:r>
          </w:p>
          <w:p>
            <w:pPr>
              <w:widowControl w:val="0"/>
              <w:ind w:firstLine="420" w:firstLineChars="200"/>
              <w:jc w:val="both"/>
              <w:rPr>
                <w:rFonts w:ascii="仿宋" w:hAnsi="仿宋" w:eastAsia="仿宋" w:cs="仿宋"/>
                <w:kern w:val="0"/>
                <w:szCs w:val="21"/>
              </w:rPr>
            </w:pPr>
            <w:r>
              <w:rPr>
                <w:rFonts w:hint="eastAsia" w:ascii="仿宋" w:hAnsi="仿宋" w:eastAsia="仿宋" w:cs="仿宋"/>
                <w:kern w:val="0"/>
                <w:szCs w:val="21"/>
              </w:rPr>
              <w:t>（2）《自然资源部办公厅关于加强国土空间规划监督管理的通知》（自然资办发〔2020〕27号）</w:t>
            </w:r>
          </w:p>
          <w:p>
            <w:pPr>
              <w:widowControl w:val="0"/>
              <w:ind w:firstLine="420" w:firstLineChars="200"/>
              <w:jc w:val="both"/>
              <w:rPr>
                <w:rFonts w:ascii="仿宋" w:hAnsi="仿宋" w:eastAsia="仿宋" w:cs="仿宋"/>
                <w:kern w:val="0"/>
                <w:szCs w:val="21"/>
              </w:rPr>
            </w:pPr>
            <w:r>
              <w:rPr>
                <w:rFonts w:hint="eastAsia" w:ascii="仿宋" w:hAnsi="仿宋" w:eastAsia="仿宋" w:cs="仿宋"/>
                <w:kern w:val="0"/>
                <w:szCs w:val="21"/>
              </w:rPr>
              <w:t>（3）《自然资源部办公厅关于进一步做好用地用海用岛国土空间规划符合性审查的通知》（自然资办发〔2024〕21号）</w:t>
            </w:r>
          </w:p>
          <w:p>
            <w:pPr>
              <w:widowControl w:val="0"/>
              <w:ind w:firstLine="420" w:firstLineChars="200"/>
              <w:jc w:val="both"/>
              <w:rPr>
                <w:rFonts w:ascii="仿宋" w:hAnsi="仿宋" w:eastAsia="仿宋" w:cs="仿宋"/>
                <w:kern w:val="0"/>
                <w:szCs w:val="21"/>
              </w:rPr>
            </w:pPr>
            <w:r>
              <w:rPr>
                <w:rFonts w:hint="eastAsia" w:ascii="仿宋" w:hAnsi="仿宋" w:eastAsia="仿宋" w:cs="仿宋"/>
                <w:kern w:val="0"/>
                <w:szCs w:val="21"/>
              </w:rPr>
              <w:t>（4）《广东省自然资源厅关于做好城镇开发边界管理的通知（试行）》（粤自然资发〔2024〕4号）</w:t>
            </w:r>
          </w:p>
          <w:p>
            <w:pPr>
              <w:widowControl w:val="0"/>
              <w:ind w:left="420"/>
              <w:jc w:val="both"/>
            </w:pPr>
            <w:r>
              <w:rPr>
                <w:rFonts w:hint="eastAsia" w:ascii="仿宋" w:hAnsi="仿宋" w:eastAsia="仿宋" w:cs="仿宋"/>
                <w:kern w:val="0"/>
                <w:szCs w:val="21"/>
              </w:rPr>
              <w:t>（5）《深圳市国土空间总体规划（2021-2035年）》。</w:t>
            </w:r>
          </w:p>
          <w:p>
            <w:pPr>
              <w:widowControl w:val="0"/>
              <w:numPr>
                <w:ilvl w:val="0"/>
                <w:numId w:val="1"/>
              </w:numPr>
              <w:jc w:val="both"/>
              <w:rPr>
                <w:rFonts w:ascii="仿宋" w:hAnsi="仿宋" w:eastAsia="仿宋" w:cs="仿宋"/>
                <w:kern w:val="0"/>
                <w:szCs w:val="21"/>
              </w:rPr>
            </w:pPr>
            <w:r>
              <w:rPr>
                <w:rFonts w:hint="eastAsia" w:ascii="仿宋" w:hAnsi="仿宋" w:eastAsia="仿宋" w:cs="仿宋"/>
                <w:kern w:val="0"/>
                <w:szCs w:val="21"/>
              </w:rPr>
              <w:t>项目采购范围</w:t>
            </w:r>
          </w:p>
          <w:p>
            <w:pPr>
              <w:widowControl w:val="0"/>
              <w:ind w:firstLine="420" w:firstLineChars="200"/>
              <w:jc w:val="both"/>
              <w:rPr>
                <w:rFonts w:ascii="仿宋" w:hAnsi="仿宋" w:eastAsia="仿宋" w:cs="仿宋"/>
                <w:kern w:val="0"/>
                <w:szCs w:val="21"/>
              </w:rPr>
            </w:pPr>
            <w:r>
              <w:rPr>
                <w:rFonts w:hint="eastAsia" w:ascii="仿宋" w:hAnsi="仿宋" w:eastAsia="仿宋" w:cs="仿宋"/>
                <w:kern w:val="0"/>
                <w:szCs w:val="21"/>
              </w:rPr>
              <w:t>深圳市全市域范围（不含深汕特别合作区）。</w:t>
            </w:r>
          </w:p>
          <w:p>
            <w:pPr>
              <w:widowControl w:val="0"/>
              <w:numPr>
                <w:ilvl w:val="0"/>
                <w:numId w:val="1"/>
              </w:numPr>
              <w:jc w:val="both"/>
              <w:rPr>
                <w:rFonts w:ascii="仿宋" w:hAnsi="仿宋" w:eastAsia="仿宋" w:cs="仿宋"/>
                <w:kern w:val="0"/>
                <w:szCs w:val="21"/>
              </w:rPr>
            </w:pPr>
            <w:r>
              <w:rPr>
                <w:rFonts w:hint="eastAsia" w:ascii="仿宋" w:hAnsi="仿宋" w:eastAsia="仿宋" w:cs="仿宋"/>
                <w:kern w:val="0"/>
                <w:szCs w:val="21"/>
              </w:rPr>
              <w:t xml:space="preserve">人员安排要求  </w:t>
            </w:r>
          </w:p>
          <w:p>
            <w:pPr>
              <w:widowControl w:val="0"/>
              <w:ind w:firstLine="420" w:firstLineChars="200"/>
              <w:jc w:val="both"/>
              <w:rPr>
                <w:rFonts w:ascii="仿宋" w:hAnsi="仿宋" w:eastAsia="仿宋" w:cs="仿宋"/>
                <w:kern w:val="0"/>
                <w:szCs w:val="21"/>
              </w:rPr>
            </w:pPr>
            <w:r>
              <w:rPr>
                <w:rFonts w:hint="eastAsia" w:ascii="仿宋" w:hAnsi="仿宋" w:eastAsia="仿宋" w:cs="仿宋"/>
                <w:kern w:val="0"/>
                <w:szCs w:val="21"/>
              </w:rPr>
              <w:t>本项目的项目组成员应熟悉深圳市国土空间总体规划、城镇开发边界划定及实施管理等相关情况，项目组成员不少于5人（包括项目负责人），主要成员应当具备城乡规划、土地资源管理或地理信息等专业背景</w:t>
            </w:r>
            <w:r>
              <w:rPr>
                <w:rFonts w:ascii="仿宋" w:hAnsi="仿宋" w:eastAsia="仿宋" w:cs="仿宋"/>
                <w:kern w:val="0"/>
                <w:szCs w:val="21"/>
              </w:rPr>
              <w:t>。</w:t>
            </w:r>
          </w:p>
          <w:p>
            <w:pPr>
              <w:widowControl w:val="0"/>
              <w:numPr>
                <w:ilvl w:val="0"/>
                <w:numId w:val="1"/>
              </w:numPr>
              <w:jc w:val="both"/>
              <w:rPr>
                <w:rFonts w:ascii="仿宋" w:hAnsi="仿宋" w:eastAsia="仿宋" w:cs="仿宋"/>
                <w:kern w:val="0"/>
                <w:szCs w:val="21"/>
              </w:rPr>
            </w:pPr>
            <w:r>
              <w:rPr>
                <w:rFonts w:hint="eastAsia" w:ascii="仿宋" w:hAnsi="仿宋" w:eastAsia="仿宋" w:cs="仿宋"/>
                <w:kern w:val="0"/>
                <w:szCs w:val="21"/>
              </w:rPr>
              <w:t xml:space="preserve">内容要求 </w:t>
            </w:r>
          </w:p>
          <w:p>
            <w:pPr>
              <w:widowControl w:val="0"/>
              <w:ind w:firstLine="420" w:firstLineChars="200"/>
              <w:jc w:val="both"/>
              <w:rPr>
                <w:rFonts w:ascii="仿宋" w:hAnsi="仿宋" w:eastAsia="仿宋" w:cs="仿宋"/>
                <w:kern w:val="0"/>
                <w:szCs w:val="21"/>
              </w:rPr>
            </w:pPr>
            <w:bookmarkStart w:id="2" w:name="OLE_LINK4"/>
            <w:r>
              <w:rPr>
                <w:rFonts w:hint="eastAsia" w:ascii="仿宋" w:hAnsi="仿宋" w:eastAsia="仿宋" w:cs="仿宋"/>
                <w:kern w:val="0"/>
                <w:szCs w:val="21"/>
              </w:rPr>
              <w:t>（1）城镇开发边界实施管理政策研究</w:t>
            </w:r>
          </w:p>
          <w:p>
            <w:pPr>
              <w:widowControl w:val="0"/>
              <w:ind w:firstLine="420" w:firstLineChars="200"/>
              <w:jc w:val="both"/>
              <w:rPr>
                <w:rFonts w:ascii="仿宋" w:hAnsi="仿宋" w:eastAsia="仿宋" w:cs="仿宋"/>
                <w:kern w:val="0"/>
                <w:szCs w:val="21"/>
              </w:rPr>
            </w:pPr>
            <w:r>
              <w:rPr>
                <w:rFonts w:hint="eastAsia" w:ascii="仿宋" w:hAnsi="仿宋" w:eastAsia="仿宋" w:cs="仿宋"/>
                <w:kern w:val="0"/>
                <w:szCs w:val="21"/>
              </w:rPr>
              <w:t>根据国家和省关于城镇开发边界的相关管控要求，结合我市实际细化城镇开发边界的实施管理要求，明确城镇开发边界局部优化和开发边界外新增建设用地规模落实的总体要求、优化原则、优化情形及操作流程、报批材料、台帐管理等具体技术要求，制定相关政策文件。</w:t>
            </w:r>
          </w:p>
          <w:p>
            <w:pPr>
              <w:widowControl w:val="0"/>
              <w:ind w:firstLine="420" w:firstLineChars="200"/>
              <w:jc w:val="both"/>
              <w:rPr>
                <w:rFonts w:ascii="仿宋" w:hAnsi="仿宋" w:eastAsia="仿宋" w:cs="仿宋"/>
                <w:kern w:val="0"/>
                <w:szCs w:val="21"/>
              </w:rPr>
            </w:pPr>
            <w:r>
              <w:rPr>
                <w:rFonts w:hint="eastAsia" w:ascii="仿宋" w:hAnsi="仿宋" w:eastAsia="仿宋" w:cs="仿宋"/>
                <w:kern w:val="0"/>
                <w:szCs w:val="21"/>
              </w:rPr>
              <w:t>（2）国土空间分区规划实施管理政策研究</w:t>
            </w:r>
          </w:p>
          <w:p>
            <w:pPr>
              <w:widowControl w:val="0"/>
              <w:ind w:firstLine="420" w:firstLineChars="200"/>
              <w:jc w:val="both"/>
              <w:rPr>
                <w:rFonts w:ascii="仿宋" w:hAnsi="仿宋" w:eastAsia="仿宋" w:cs="仿宋"/>
                <w:kern w:val="0"/>
                <w:szCs w:val="21"/>
              </w:rPr>
            </w:pPr>
            <w:r>
              <w:rPr>
                <w:rFonts w:hint="eastAsia" w:ascii="仿宋" w:hAnsi="仿宋" w:eastAsia="仿宋" w:cs="仿宋"/>
                <w:kern w:val="0"/>
                <w:szCs w:val="21"/>
              </w:rPr>
              <w:t>在国家和省国土空间总体规划实施管理框架下，结合我市“市-区”两级规划管理实际，开展国土空间分区规划实施管理的具体政策文件制定，明确我市分区规划修改维护情形、审查报批、数据库更新等具体技术内容。</w:t>
            </w:r>
          </w:p>
          <w:p>
            <w:pPr>
              <w:widowControl w:val="0"/>
              <w:ind w:firstLine="420" w:firstLineChars="200"/>
              <w:jc w:val="both"/>
              <w:rPr>
                <w:rFonts w:ascii="仿宋" w:hAnsi="仿宋" w:eastAsia="仿宋" w:cs="仿宋"/>
                <w:kern w:val="0"/>
                <w:szCs w:val="21"/>
              </w:rPr>
            </w:pPr>
            <w:r>
              <w:rPr>
                <w:rFonts w:hint="eastAsia" w:ascii="仿宋" w:hAnsi="仿宋" w:eastAsia="仿宋" w:cs="仿宋"/>
                <w:kern w:val="0"/>
                <w:szCs w:val="21"/>
              </w:rPr>
              <w:t>（3）城镇开发边界局部优化技术监理</w:t>
            </w:r>
          </w:p>
          <w:p>
            <w:pPr>
              <w:widowControl w:val="0"/>
              <w:ind w:firstLine="420" w:firstLineChars="200"/>
              <w:jc w:val="both"/>
              <w:rPr>
                <w:rFonts w:ascii="仿宋" w:hAnsi="仿宋" w:eastAsia="仿宋" w:cs="仿宋"/>
                <w:kern w:val="0"/>
                <w:szCs w:val="21"/>
              </w:rPr>
            </w:pPr>
            <w:r>
              <w:rPr>
                <w:rFonts w:hint="eastAsia" w:ascii="仿宋" w:hAnsi="仿宋" w:eastAsia="仿宋" w:cs="仿宋"/>
                <w:kern w:val="0"/>
                <w:szCs w:val="21"/>
              </w:rPr>
              <w:t>依据国家和省关于城镇开发边界的相关管控要求，结合我市城镇开发边界实施管理操作指引，对各区申报的城镇开发边界局部优化调整方案开展技术核查，同步开展相关调整方案上报部省的监理工作。</w:t>
            </w:r>
          </w:p>
          <w:p>
            <w:pPr>
              <w:widowControl w:val="0"/>
              <w:ind w:firstLine="420" w:firstLineChars="200"/>
              <w:jc w:val="both"/>
              <w:rPr>
                <w:rFonts w:ascii="仿宋" w:hAnsi="仿宋" w:eastAsia="仿宋" w:cs="仿宋"/>
                <w:kern w:val="0"/>
                <w:szCs w:val="21"/>
              </w:rPr>
            </w:pPr>
            <w:r>
              <w:rPr>
                <w:rFonts w:hint="eastAsia" w:ascii="仿宋" w:hAnsi="仿宋" w:eastAsia="仿宋" w:cs="仿宋"/>
                <w:kern w:val="0"/>
                <w:szCs w:val="21"/>
              </w:rPr>
              <w:t>（4）城镇开发边界外新增城镇建设用地规模落实使用情况表技术监理</w:t>
            </w:r>
          </w:p>
          <w:p>
            <w:pPr>
              <w:widowControl w:val="0"/>
              <w:ind w:firstLine="420" w:firstLineChars="200"/>
              <w:jc w:val="both"/>
              <w:rPr>
                <w:rFonts w:ascii="仿宋" w:hAnsi="仿宋" w:eastAsia="仿宋" w:cs="仿宋"/>
                <w:kern w:val="0"/>
                <w:szCs w:val="21"/>
              </w:rPr>
            </w:pPr>
            <w:r>
              <w:rPr>
                <w:rFonts w:hint="eastAsia" w:ascii="仿宋" w:hAnsi="仿宋" w:eastAsia="仿宋" w:cs="仿宋"/>
                <w:kern w:val="0"/>
                <w:szCs w:val="21"/>
              </w:rPr>
              <w:t>依据国家和省关于城镇开发边界的相关管控要求，结合我市城镇开发边界实施管理操作指引，针对各区申报的城镇开发边界外新增城镇建设用地规模落实使用情况表开展技术核查，同步开展相关审批表上报省厅备案的监理工作。</w:t>
            </w:r>
          </w:p>
          <w:p>
            <w:pPr>
              <w:widowControl w:val="0"/>
              <w:ind w:firstLine="420" w:firstLineChars="200"/>
              <w:jc w:val="both"/>
              <w:rPr>
                <w:rFonts w:ascii="仿宋" w:hAnsi="仿宋" w:eastAsia="仿宋" w:cs="仿宋"/>
                <w:kern w:val="0"/>
                <w:szCs w:val="21"/>
              </w:rPr>
            </w:pPr>
            <w:r>
              <w:rPr>
                <w:rFonts w:hint="eastAsia" w:ascii="仿宋" w:hAnsi="仿宋" w:eastAsia="仿宋" w:cs="仿宋"/>
                <w:kern w:val="0"/>
                <w:szCs w:val="21"/>
              </w:rPr>
              <w:t>（5）建设项目用地总规符合性技术监理</w:t>
            </w:r>
          </w:p>
          <w:p>
            <w:pPr>
              <w:widowControl w:val="0"/>
              <w:ind w:firstLine="420" w:firstLineChars="200"/>
              <w:jc w:val="both"/>
              <w:rPr>
                <w:rFonts w:ascii="仿宋" w:hAnsi="仿宋" w:eastAsia="仿宋" w:cs="仿宋"/>
                <w:kern w:val="0"/>
                <w:szCs w:val="21"/>
              </w:rPr>
            </w:pPr>
            <w:r>
              <w:rPr>
                <w:rFonts w:hint="eastAsia" w:ascii="仿宋" w:hAnsi="仿宋" w:eastAsia="仿宋" w:cs="仿宋"/>
                <w:kern w:val="0"/>
                <w:szCs w:val="21"/>
              </w:rPr>
              <w:t>以批准的三条控制线为基础分析各类建设项目用地符合生态保护红线、城镇开发边界、建设用地规模落实等情况，对合规性进行核查，形成技术分析报告并出具监理意见。</w:t>
            </w:r>
          </w:p>
          <w:p>
            <w:pPr>
              <w:widowControl w:val="0"/>
              <w:ind w:firstLine="420" w:firstLineChars="200"/>
              <w:jc w:val="both"/>
              <w:rPr>
                <w:rFonts w:ascii="仿宋" w:hAnsi="仿宋" w:eastAsia="仿宋" w:cs="仿宋"/>
                <w:kern w:val="0"/>
                <w:szCs w:val="21"/>
              </w:rPr>
            </w:pPr>
            <w:r>
              <w:rPr>
                <w:rFonts w:hint="eastAsia" w:ascii="仿宋" w:hAnsi="仿宋" w:eastAsia="仿宋" w:cs="仿宋"/>
                <w:kern w:val="0"/>
                <w:szCs w:val="21"/>
              </w:rPr>
              <w:t>（6）国土空间总体规划主体内容统筹技术监理</w:t>
            </w:r>
          </w:p>
          <w:p>
            <w:pPr>
              <w:widowControl w:val="0"/>
              <w:ind w:firstLine="420" w:firstLineChars="200"/>
              <w:jc w:val="both"/>
              <w:rPr>
                <w:rFonts w:ascii="仿宋" w:hAnsi="仿宋" w:eastAsia="仿宋" w:cs="仿宋"/>
                <w:kern w:val="0"/>
                <w:szCs w:val="21"/>
              </w:rPr>
            </w:pPr>
            <w:r>
              <w:rPr>
                <w:rFonts w:hint="eastAsia" w:ascii="仿宋" w:hAnsi="仿宋" w:eastAsia="仿宋" w:cs="仿宋"/>
                <w:kern w:val="0"/>
                <w:szCs w:val="21"/>
              </w:rPr>
              <w:t>开展规划目标指标、标准单元等国土空间总体规划主体内容的统筹维护监理工作，保障国土空间总体规划的有序实施。</w:t>
            </w:r>
          </w:p>
          <w:p>
            <w:pPr>
              <w:widowControl w:val="0"/>
              <w:ind w:firstLine="420" w:firstLineChars="200"/>
              <w:jc w:val="both"/>
              <w:rPr>
                <w:rFonts w:ascii="仿宋" w:hAnsi="仿宋" w:eastAsia="仿宋" w:cs="仿宋"/>
                <w:kern w:val="0"/>
                <w:szCs w:val="21"/>
              </w:rPr>
            </w:pPr>
            <w:r>
              <w:rPr>
                <w:rFonts w:hint="eastAsia" w:ascii="仿宋" w:hAnsi="仿宋" w:eastAsia="仿宋" w:cs="仿宋"/>
                <w:kern w:val="0"/>
                <w:szCs w:val="21"/>
              </w:rPr>
              <w:t>（7）国土空间总体规划实施其他技术监理</w:t>
            </w:r>
          </w:p>
          <w:p>
            <w:pPr>
              <w:widowControl w:val="0"/>
              <w:ind w:firstLine="420" w:firstLineChars="200"/>
              <w:jc w:val="both"/>
              <w:rPr>
                <w:rFonts w:ascii="仿宋" w:hAnsi="仿宋" w:eastAsia="仿宋" w:cs="仿宋"/>
                <w:kern w:val="0"/>
                <w:szCs w:val="21"/>
              </w:rPr>
            </w:pPr>
            <w:r>
              <w:rPr>
                <w:rFonts w:hint="eastAsia" w:ascii="仿宋" w:hAnsi="仿宋" w:eastAsia="仿宋" w:cs="仿宋"/>
                <w:kern w:val="0"/>
                <w:szCs w:val="21"/>
              </w:rPr>
              <w:t>结合国家、省及深圳市最新政策要求，做好其他有利于市级国土空间总体规划实施的技术监理工作。</w:t>
            </w:r>
          </w:p>
          <w:bookmarkEnd w:id="2"/>
          <w:p>
            <w:pPr>
              <w:widowControl w:val="0"/>
              <w:numPr>
                <w:ilvl w:val="0"/>
                <w:numId w:val="1"/>
              </w:numPr>
              <w:jc w:val="both"/>
              <w:rPr>
                <w:rFonts w:ascii="仿宋" w:hAnsi="仿宋" w:eastAsia="仿宋" w:cs="仿宋"/>
                <w:kern w:val="0"/>
                <w:szCs w:val="21"/>
              </w:rPr>
            </w:pPr>
            <w:r>
              <w:rPr>
                <w:rFonts w:hint="eastAsia" w:ascii="仿宋" w:hAnsi="仿宋" w:eastAsia="仿宋" w:cs="仿宋"/>
                <w:kern w:val="0"/>
                <w:szCs w:val="21"/>
              </w:rPr>
              <w:t xml:space="preserve">成果要求  </w:t>
            </w:r>
          </w:p>
          <w:p>
            <w:pPr>
              <w:widowControl w:val="0"/>
              <w:ind w:firstLine="420" w:firstLineChars="200"/>
              <w:jc w:val="both"/>
              <w:rPr>
                <w:rFonts w:ascii="仿宋" w:hAnsi="仿宋" w:eastAsia="仿宋" w:cs="仿宋"/>
                <w:kern w:val="0"/>
                <w:szCs w:val="21"/>
              </w:rPr>
            </w:pPr>
            <w:r>
              <w:rPr>
                <w:rFonts w:hint="eastAsia" w:ascii="仿宋" w:hAnsi="仿宋" w:eastAsia="仿宋" w:cs="仿宋"/>
                <w:kern w:val="0"/>
                <w:szCs w:val="21"/>
              </w:rPr>
              <w:t>本项目主要成果应包括：</w:t>
            </w:r>
          </w:p>
          <w:p>
            <w:pPr>
              <w:widowControl w:val="0"/>
              <w:ind w:firstLine="420" w:firstLineChars="200"/>
              <w:jc w:val="both"/>
              <w:rPr>
                <w:rFonts w:ascii="仿宋" w:hAnsi="仿宋" w:eastAsia="仿宋" w:cs="仿宋"/>
                <w:kern w:val="0"/>
                <w:szCs w:val="21"/>
              </w:rPr>
            </w:pPr>
            <w:bookmarkStart w:id="3" w:name="OLE_LINK5"/>
            <w:r>
              <w:rPr>
                <w:rFonts w:hint="eastAsia" w:ascii="仿宋" w:hAnsi="仿宋" w:eastAsia="仿宋" w:cs="仿宋"/>
                <w:kern w:val="0"/>
                <w:szCs w:val="21"/>
              </w:rPr>
              <w:t>（1）深圳市城镇开发边界实施管理政策研究报告（word/pdf格式）</w:t>
            </w:r>
          </w:p>
          <w:p>
            <w:pPr>
              <w:widowControl w:val="0"/>
              <w:ind w:firstLine="420" w:firstLineChars="200"/>
              <w:jc w:val="both"/>
              <w:rPr>
                <w:rFonts w:ascii="仿宋" w:hAnsi="仿宋" w:eastAsia="仿宋" w:cs="仿宋"/>
                <w:kern w:val="0"/>
                <w:szCs w:val="21"/>
              </w:rPr>
            </w:pPr>
            <w:r>
              <w:rPr>
                <w:rFonts w:hint="eastAsia" w:ascii="仿宋" w:hAnsi="仿宋" w:eastAsia="仿宋" w:cs="仿宋"/>
                <w:kern w:val="0"/>
                <w:szCs w:val="21"/>
              </w:rPr>
              <w:t>（2）深圳市国土空间分区规划实施管理政策研究报告（word/pdf格式）</w:t>
            </w:r>
          </w:p>
          <w:p>
            <w:pPr>
              <w:widowControl w:val="0"/>
              <w:ind w:firstLine="420" w:firstLineChars="200"/>
              <w:jc w:val="both"/>
              <w:rPr>
                <w:rFonts w:ascii="仿宋" w:hAnsi="仿宋" w:eastAsia="仿宋" w:cs="仿宋"/>
                <w:kern w:val="0"/>
                <w:szCs w:val="21"/>
              </w:rPr>
            </w:pPr>
            <w:r>
              <w:rPr>
                <w:rFonts w:hint="eastAsia" w:ascii="仿宋" w:hAnsi="仿宋" w:eastAsia="仿宋" w:cs="仿宋"/>
                <w:kern w:val="0"/>
                <w:szCs w:val="21"/>
              </w:rPr>
              <w:t>（3）2025年深圳市城镇开发边界局部优化方案监理报告（word/pdf格式）</w:t>
            </w:r>
          </w:p>
          <w:p>
            <w:pPr>
              <w:widowControl w:val="0"/>
              <w:ind w:firstLine="420" w:firstLineChars="200"/>
              <w:jc w:val="both"/>
              <w:rPr>
                <w:rFonts w:ascii="仿宋" w:hAnsi="仿宋" w:eastAsia="仿宋" w:cs="仿宋"/>
                <w:kern w:val="0"/>
                <w:szCs w:val="21"/>
              </w:rPr>
            </w:pPr>
            <w:r>
              <w:rPr>
                <w:rFonts w:hint="eastAsia" w:ascii="仿宋" w:hAnsi="仿宋" w:eastAsia="仿宋" w:cs="仿宋"/>
                <w:kern w:val="0"/>
                <w:szCs w:val="21"/>
              </w:rPr>
              <w:t>（4）2025年深圳市城镇开发边界外新增城镇建设用地规模落实使用方案监理报告（word/pdf格式）</w:t>
            </w:r>
          </w:p>
          <w:p>
            <w:pPr>
              <w:widowControl w:val="0"/>
              <w:ind w:firstLine="420" w:firstLineChars="200"/>
              <w:jc w:val="both"/>
              <w:rPr>
                <w:rFonts w:ascii="仿宋" w:hAnsi="仿宋" w:eastAsia="仿宋" w:cs="仿宋"/>
                <w:kern w:val="0"/>
                <w:szCs w:val="21"/>
              </w:rPr>
            </w:pPr>
            <w:r>
              <w:rPr>
                <w:rFonts w:hint="eastAsia" w:ascii="仿宋" w:hAnsi="仿宋" w:eastAsia="仿宋" w:cs="仿宋"/>
                <w:kern w:val="0"/>
                <w:szCs w:val="21"/>
              </w:rPr>
              <w:t>（5）2025年建设项目用地总规符合性监理报告（word/pdf格式）</w:t>
            </w:r>
          </w:p>
          <w:p>
            <w:pPr>
              <w:widowControl w:val="0"/>
              <w:ind w:firstLine="420" w:firstLineChars="200"/>
              <w:jc w:val="both"/>
              <w:rPr>
                <w:rFonts w:ascii="仿宋" w:hAnsi="仿宋" w:eastAsia="仿宋" w:cs="仿宋"/>
                <w:kern w:val="0"/>
                <w:szCs w:val="21"/>
              </w:rPr>
            </w:pPr>
            <w:r>
              <w:rPr>
                <w:rFonts w:hint="eastAsia" w:ascii="仿宋" w:hAnsi="仿宋" w:eastAsia="仿宋" w:cs="仿宋"/>
                <w:kern w:val="0"/>
                <w:szCs w:val="21"/>
              </w:rPr>
              <w:t>（6）2025年深圳市国土空间总体规划主体内容维护技术监理报告（word/pdf格式）</w:t>
            </w:r>
            <w:r>
              <w:rPr>
                <w:rFonts w:ascii="仿宋" w:hAnsi="仿宋" w:eastAsia="仿宋" w:cs="仿宋"/>
                <w:kern w:val="0"/>
                <w:szCs w:val="21"/>
              </w:rPr>
              <w:t>。</w:t>
            </w:r>
          </w:p>
          <w:bookmarkEnd w:id="3"/>
          <w:p>
            <w:pPr>
              <w:widowControl w:val="0"/>
              <w:ind w:firstLine="420" w:firstLineChars="200"/>
              <w:jc w:val="both"/>
              <w:rPr>
                <w:rFonts w:ascii="仿宋" w:hAnsi="仿宋" w:eastAsia="仿宋" w:cs="仿宋"/>
                <w:kern w:val="0"/>
                <w:szCs w:val="21"/>
              </w:rPr>
            </w:pPr>
            <w:r>
              <w:rPr>
                <w:rFonts w:hint="eastAsia" w:ascii="仿宋" w:hAnsi="仿宋" w:eastAsia="仿宋" w:cs="仿宋"/>
                <w:kern w:val="0"/>
                <w:szCs w:val="21"/>
              </w:rPr>
              <w:t>本项目验收要求：成果经过深圳市规划和自然资源局专题会审议通过。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870" w:type="pct"/>
          </w:tcPr>
          <w:p>
            <w:pPr>
              <w:widowControl w:val="0"/>
              <w:rPr>
                <w:rFonts w:ascii="仿宋" w:hAnsi="仿宋" w:eastAsia="仿宋" w:cs="仿宋"/>
                <w:kern w:val="0"/>
                <w:szCs w:val="21"/>
              </w:rPr>
            </w:pPr>
            <w:r>
              <w:rPr>
                <w:rFonts w:hint="eastAsia" w:ascii="仿宋" w:hAnsi="仿宋" w:eastAsia="仿宋" w:cs="仿宋"/>
                <w:kern w:val="0"/>
                <w:szCs w:val="21"/>
              </w:rPr>
              <w:t>商务需求</w:t>
            </w:r>
          </w:p>
        </w:tc>
        <w:tc>
          <w:tcPr>
            <w:tcW w:w="4130" w:type="pct"/>
            <w:gridSpan w:val="4"/>
          </w:tcPr>
          <w:p>
            <w:pPr>
              <w:widowControl w:val="0"/>
              <w:numPr>
                <w:ilvl w:val="0"/>
                <w:numId w:val="2"/>
              </w:numPr>
              <w:jc w:val="both"/>
              <w:rPr>
                <w:rFonts w:ascii="仿宋_GB2312" w:hAnsi="Times New Roman" w:eastAsia="仿宋_GB2312" w:cs="Times New Roman"/>
                <w:b/>
                <w:szCs w:val="24"/>
              </w:rPr>
            </w:pPr>
            <w:r>
              <w:rPr>
                <w:rFonts w:hint="eastAsia" w:ascii="仿宋_GB2312" w:hAnsi="Times New Roman" w:eastAsia="仿宋_GB2312" w:cs="Times New Roman"/>
                <w:b/>
                <w:szCs w:val="24"/>
              </w:rPr>
              <w:t xml:space="preserve">服务期限  </w:t>
            </w:r>
          </w:p>
          <w:p>
            <w:pPr>
              <w:widowControl w:val="0"/>
              <w:ind w:firstLine="420" w:firstLineChars="200"/>
              <w:jc w:val="both"/>
              <w:rPr>
                <w:rFonts w:ascii="仿宋_GB2312" w:hAnsi="Times New Roman" w:eastAsia="仿宋_GB2312" w:cs="Times New Roman"/>
                <w:szCs w:val="24"/>
              </w:rPr>
            </w:pPr>
            <w:r>
              <w:rPr>
                <w:rFonts w:hint="eastAsia" w:ascii="仿宋_GB2312" w:hAnsi="宋体" w:eastAsia="仿宋_GB2312" w:cs="宋体"/>
                <w:kern w:val="0"/>
                <w:szCs w:val="21"/>
              </w:rPr>
              <w:t>项目研究及成果编制于合同签订后开展，项目总周期12个月，于合同周期内持续开展深圳市国土空间总体规划实施管理工作。</w:t>
            </w:r>
          </w:p>
          <w:p>
            <w:pPr>
              <w:widowControl w:val="0"/>
              <w:numPr>
                <w:ilvl w:val="0"/>
                <w:numId w:val="2"/>
              </w:numPr>
              <w:jc w:val="both"/>
              <w:rPr>
                <w:rFonts w:ascii="仿宋_GB2312" w:hAnsi="Times New Roman" w:eastAsia="仿宋_GB2312" w:cs="Times New Roman"/>
                <w:b/>
                <w:szCs w:val="24"/>
              </w:rPr>
            </w:pPr>
            <w:r>
              <w:rPr>
                <w:rFonts w:hint="eastAsia" w:ascii="仿宋_GB2312" w:hAnsi="Times New Roman" w:eastAsia="仿宋_GB2312" w:cs="Times New Roman"/>
                <w:b/>
                <w:szCs w:val="24"/>
              </w:rPr>
              <w:t xml:space="preserve">进度安排 </w:t>
            </w:r>
          </w:p>
          <w:p>
            <w:pPr>
              <w:widowControl w:val="0"/>
              <w:ind w:firstLine="420" w:firstLineChars="200"/>
              <w:jc w:val="both"/>
              <w:rPr>
                <w:rFonts w:ascii="仿宋_GB2312" w:hAnsi="宋体" w:eastAsia="仿宋_GB2312" w:cs="宋体"/>
                <w:kern w:val="0"/>
                <w:szCs w:val="21"/>
              </w:rPr>
            </w:pPr>
            <w:r>
              <w:rPr>
                <w:rFonts w:hint="eastAsia" w:ascii="仿宋_GB2312" w:hAnsi="宋体" w:eastAsia="仿宋_GB2312" w:cs="宋体"/>
                <w:kern w:val="0"/>
                <w:szCs w:val="21"/>
              </w:rPr>
              <w:t>项目研究及成果编制于合同签订后开展，分三阶段总周期1</w:t>
            </w:r>
            <w:r>
              <w:rPr>
                <w:rFonts w:ascii="仿宋_GB2312" w:hAnsi="宋体" w:eastAsia="仿宋_GB2312" w:cs="宋体"/>
                <w:kern w:val="0"/>
                <w:szCs w:val="21"/>
              </w:rPr>
              <w:t>2</w:t>
            </w:r>
            <w:r>
              <w:rPr>
                <w:rFonts w:hint="eastAsia" w:ascii="仿宋_GB2312" w:hAnsi="宋体" w:eastAsia="仿宋_GB2312" w:cs="宋体"/>
                <w:kern w:val="0"/>
                <w:szCs w:val="21"/>
              </w:rPr>
              <w:t>个月。</w:t>
            </w:r>
          </w:p>
          <w:p>
            <w:pPr>
              <w:widowControl w:val="0"/>
              <w:ind w:firstLine="420" w:firstLineChars="200"/>
              <w:jc w:val="both"/>
              <w:rPr>
                <w:rFonts w:ascii="仿宋_GB2312" w:hAnsi="宋体" w:eastAsia="仿宋_GB2312" w:cs="宋体"/>
                <w:kern w:val="0"/>
                <w:szCs w:val="21"/>
              </w:rPr>
            </w:pPr>
            <w:r>
              <w:rPr>
                <w:rFonts w:hint="eastAsia" w:ascii="仿宋_GB2312" w:hAnsi="宋体" w:eastAsia="仿宋_GB2312" w:cs="宋体"/>
                <w:kern w:val="0"/>
                <w:szCs w:val="21"/>
              </w:rPr>
              <w:t>（1）项目前期工作阶段：合同签订后第1个月</w:t>
            </w:r>
          </w:p>
          <w:p>
            <w:pPr>
              <w:widowControl w:val="0"/>
              <w:ind w:firstLine="420" w:firstLineChars="200"/>
              <w:jc w:val="both"/>
              <w:rPr>
                <w:rFonts w:ascii="仿宋_GB2312" w:hAnsi="宋体" w:eastAsia="仿宋_GB2312" w:cs="宋体"/>
                <w:kern w:val="0"/>
                <w:szCs w:val="21"/>
              </w:rPr>
            </w:pPr>
            <w:r>
              <w:rPr>
                <w:rFonts w:hint="eastAsia" w:ascii="仿宋_GB2312" w:hAnsi="宋体" w:eastAsia="仿宋_GB2312" w:cs="宋体"/>
                <w:kern w:val="0"/>
                <w:szCs w:val="21"/>
              </w:rPr>
              <w:t>拟定工作方案，收集相关资料。</w:t>
            </w:r>
          </w:p>
          <w:p>
            <w:pPr>
              <w:widowControl w:val="0"/>
              <w:ind w:firstLine="420" w:firstLineChars="200"/>
              <w:jc w:val="both"/>
              <w:rPr>
                <w:rFonts w:ascii="仿宋_GB2312" w:hAnsi="宋体" w:eastAsia="仿宋_GB2312" w:cs="宋体"/>
                <w:kern w:val="0"/>
                <w:szCs w:val="21"/>
              </w:rPr>
            </w:pPr>
            <w:r>
              <w:rPr>
                <w:rFonts w:hint="eastAsia" w:ascii="仿宋_GB2312" w:hAnsi="宋体" w:eastAsia="仿宋_GB2312" w:cs="宋体"/>
                <w:kern w:val="0"/>
                <w:szCs w:val="21"/>
              </w:rPr>
              <w:t>（2）项目技术服务阶段：合同签订后第1至12月</w:t>
            </w:r>
          </w:p>
          <w:p>
            <w:pPr>
              <w:widowControl w:val="0"/>
              <w:ind w:firstLine="420" w:firstLineChars="200"/>
              <w:jc w:val="both"/>
              <w:rPr>
                <w:rFonts w:ascii="仿宋_GB2312" w:hAnsi="宋体" w:eastAsia="仿宋_GB2312" w:cs="宋体"/>
                <w:kern w:val="0"/>
                <w:szCs w:val="21"/>
              </w:rPr>
            </w:pPr>
            <w:r>
              <w:rPr>
                <w:rFonts w:hint="eastAsia" w:ascii="仿宋_GB2312" w:hAnsi="宋体" w:eastAsia="仿宋_GB2312" w:cs="宋体"/>
                <w:kern w:val="0"/>
                <w:szCs w:val="21"/>
              </w:rPr>
              <w:t>提供市级国土空间总体规划实施相关技术服务。</w:t>
            </w:r>
          </w:p>
          <w:p>
            <w:pPr>
              <w:widowControl w:val="0"/>
              <w:ind w:firstLine="420" w:firstLineChars="200"/>
              <w:jc w:val="both"/>
              <w:rPr>
                <w:rFonts w:ascii="仿宋_GB2312" w:hAnsi="宋体" w:eastAsia="仿宋_GB2312" w:cs="宋体"/>
                <w:kern w:val="0"/>
                <w:szCs w:val="21"/>
              </w:rPr>
            </w:pPr>
            <w:r>
              <w:rPr>
                <w:rFonts w:hint="eastAsia" w:ascii="仿宋_GB2312" w:hAnsi="宋体" w:eastAsia="仿宋_GB2312" w:cs="宋体"/>
                <w:kern w:val="0"/>
                <w:szCs w:val="21"/>
              </w:rPr>
              <w:t>（3）成果完善验收阶段：合同签订后第12月</w:t>
            </w:r>
          </w:p>
          <w:p>
            <w:pPr>
              <w:widowControl w:val="0"/>
              <w:ind w:firstLine="420" w:firstLineChars="200"/>
              <w:jc w:val="both"/>
              <w:rPr>
                <w:rFonts w:ascii="仿宋_GB2312" w:hAnsi="宋体" w:eastAsia="仿宋_GB2312" w:cs="宋体"/>
                <w:kern w:val="0"/>
                <w:szCs w:val="21"/>
              </w:rPr>
            </w:pPr>
            <w:r>
              <w:rPr>
                <w:rFonts w:hint="eastAsia" w:ascii="仿宋_GB2312" w:hAnsi="宋体" w:eastAsia="仿宋_GB2312" w:cs="宋体"/>
                <w:kern w:val="0"/>
                <w:szCs w:val="21"/>
              </w:rPr>
              <w:t>向市规划和自然资源局汇报相关成果，并按要求修改完善后按合同约定结题归档。</w:t>
            </w:r>
          </w:p>
          <w:p>
            <w:pPr>
              <w:widowControl w:val="0"/>
              <w:numPr>
                <w:ilvl w:val="0"/>
                <w:numId w:val="2"/>
              </w:numPr>
              <w:jc w:val="both"/>
              <w:rPr>
                <w:rFonts w:ascii="仿宋_GB2312" w:hAnsi="Times New Roman" w:eastAsia="仿宋_GB2312" w:cs="Times New Roman"/>
                <w:b/>
                <w:szCs w:val="24"/>
              </w:rPr>
            </w:pPr>
            <w:r>
              <w:rPr>
                <w:rFonts w:hint="eastAsia" w:ascii="仿宋_GB2312" w:hAnsi="Times New Roman" w:eastAsia="仿宋_GB2312" w:cs="Times New Roman"/>
                <w:b/>
                <w:szCs w:val="24"/>
              </w:rPr>
              <w:t>组织实施要求</w:t>
            </w:r>
          </w:p>
          <w:p>
            <w:pPr>
              <w:widowControl w:val="0"/>
              <w:ind w:firstLine="420" w:firstLineChars="200"/>
              <w:jc w:val="both"/>
              <w:rPr>
                <w:rFonts w:ascii="仿宋_GB2312" w:hAnsi="宋体" w:eastAsia="仿宋_GB2312" w:cs="宋体"/>
                <w:kern w:val="0"/>
                <w:szCs w:val="21"/>
              </w:rPr>
            </w:pPr>
            <w:r>
              <w:rPr>
                <w:rFonts w:hint="eastAsia" w:ascii="仿宋_GB2312" w:hAnsi="宋体" w:eastAsia="仿宋_GB2312" w:cs="宋体"/>
                <w:kern w:val="0"/>
                <w:szCs w:val="21"/>
              </w:rPr>
              <w:t>为确保本次项目工作管理规范、实施有力，中标方应成立项目组，按采购方要求完成研究成果。</w:t>
            </w:r>
          </w:p>
          <w:p>
            <w:pPr>
              <w:widowControl w:val="0"/>
              <w:ind w:firstLine="420" w:firstLineChars="200"/>
              <w:jc w:val="both"/>
              <w:rPr>
                <w:rFonts w:ascii="仿宋_GB2312" w:hAnsi="Times New Roman" w:eastAsia="仿宋_GB2312" w:cs="Times New Roman"/>
                <w:szCs w:val="24"/>
              </w:rPr>
            </w:pPr>
            <w:r>
              <w:rPr>
                <w:rFonts w:hint="eastAsia" w:ascii="仿宋_GB2312" w:hAnsi="宋体" w:eastAsia="仿宋_GB2312" w:cs="宋体"/>
                <w:kern w:val="0"/>
                <w:szCs w:val="21"/>
              </w:rPr>
              <w:t>中标方须配合采购方组织,举办本项目各工作阶段的汇报、审查、调查、研讨、意见征询等工作。</w:t>
            </w:r>
          </w:p>
          <w:p>
            <w:pPr>
              <w:widowControl w:val="0"/>
              <w:numPr>
                <w:ilvl w:val="0"/>
                <w:numId w:val="2"/>
              </w:numPr>
              <w:jc w:val="both"/>
              <w:rPr>
                <w:rFonts w:ascii="仿宋_GB2312" w:hAnsi="Times New Roman" w:eastAsia="仿宋_GB2312" w:cs="Times New Roman"/>
                <w:b/>
                <w:szCs w:val="24"/>
              </w:rPr>
            </w:pPr>
            <w:r>
              <w:rPr>
                <w:rFonts w:hint="eastAsia" w:ascii="仿宋_GB2312" w:hAnsi="Times New Roman" w:eastAsia="仿宋_GB2312" w:cs="Times New Roman"/>
                <w:b/>
                <w:szCs w:val="24"/>
              </w:rPr>
              <w:t>培训要求</w:t>
            </w:r>
          </w:p>
          <w:p>
            <w:pPr>
              <w:widowControl w:val="0"/>
              <w:ind w:firstLine="420" w:firstLineChars="200"/>
              <w:jc w:val="both"/>
              <w:rPr>
                <w:rFonts w:ascii="仿宋_GB2312" w:hAnsi="Times New Roman" w:eastAsia="仿宋_GB2312" w:cs="Times New Roman"/>
                <w:szCs w:val="24"/>
              </w:rPr>
            </w:pPr>
            <w:r>
              <w:rPr>
                <w:rFonts w:hint="eastAsia" w:ascii="仿宋_GB2312" w:hAnsi="Times New Roman" w:eastAsia="仿宋_GB2312" w:cs="Times New Roman"/>
                <w:szCs w:val="24"/>
              </w:rPr>
              <w:t>中标供应商应按采购人需求，对采购人的相关技术人员进行技术培训，使采购人能全面理解成果内容，确保工作方案的实施。</w:t>
            </w:r>
          </w:p>
          <w:p>
            <w:pPr>
              <w:widowControl w:val="0"/>
              <w:numPr>
                <w:ilvl w:val="0"/>
                <w:numId w:val="2"/>
              </w:numPr>
              <w:jc w:val="both"/>
              <w:rPr>
                <w:rFonts w:ascii="仿宋_GB2312" w:hAnsi="Times New Roman" w:eastAsia="仿宋_GB2312" w:cs="Times New Roman"/>
                <w:b/>
                <w:szCs w:val="24"/>
              </w:rPr>
            </w:pPr>
            <w:r>
              <w:rPr>
                <w:rFonts w:hint="eastAsia" w:ascii="仿宋_GB2312" w:hAnsi="Times New Roman" w:eastAsia="仿宋_GB2312" w:cs="Times New Roman"/>
                <w:b/>
                <w:szCs w:val="24"/>
              </w:rPr>
              <w:t xml:space="preserve">售后服务要求  </w:t>
            </w:r>
          </w:p>
          <w:p>
            <w:pPr>
              <w:widowControl w:val="0"/>
              <w:ind w:firstLine="420" w:firstLineChars="200"/>
              <w:jc w:val="both"/>
              <w:rPr>
                <w:rFonts w:ascii="仿宋_GB2312" w:hAnsi="Times New Roman" w:eastAsia="仿宋_GB2312" w:cs="Times New Roman"/>
                <w:szCs w:val="24"/>
              </w:rPr>
            </w:pPr>
            <w:r>
              <w:rPr>
                <w:rFonts w:hint="eastAsia" w:ascii="仿宋_GB2312" w:hAnsi="Times New Roman" w:eastAsia="仿宋_GB2312" w:cs="Times New Roman"/>
                <w:szCs w:val="24"/>
              </w:rPr>
              <w:t>中标方应按照合同规定，在限定期限内完成该项目的编制、汇报、审查等工作。项目售后服务期限自最终成果提交采购方之日起的1年内，中标方须与采购方保持密切沟通，随时跟进项目后续的服务需求，提供相关技术支持。</w:t>
            </w:r>
          </w:p>
          <w:p>
            <w:pPr>
              <w:widowControl w:val="0"/>
              <w:ind w:firstLine="420" w:firstLineChars="200"/>
              <w:jc w:val="both"/>
              <w:rPr>
                <w:rFonts w:ascii="仿宋_GB2312" w:hAnsi="Times New Roman" w:eastAsia="仿宋_GB2312" w:cs="Times New Roman"/>
                <w:szCs w:val="24"/>
              </w:rPr>
            </w:pPr>
            <w:r>
              <w:rPr>
                <w:rFonts w:hint="eastAsia" w:ascii="仿宋_GB2312" w:hAnsi="Times New Roman" w:eastAsia="仿宋_GB2312" w:cs="Times New Roman"/>
                <w:szCs w:val="24"/>
              </w:rPr>
              <w:t>对优质长期服务政府采购合同供应商实行合同续期奖励机制。</w:t>
            </w:r>
          </w:p>
          <w:p>
            <w:pPr>
              <w:widowControl w:val="0"/>
              <w:numPr>
                <w:ilvl w:val="0"/>
                <w:numId w:val="2"/>
              </w:numPr>
              <w:jc w:val="both"/>
              <w:rPr>
                <w:rFonts w:ascii="仿宋_GB2312" w:hAnsi="Times New Roman" w:eastAsia="仿宋_GB2312" w:cs="Times New Roman"/>
                <w:b/>
                <w:szCs w:val="24"/>
              </w:rPr>
            </w:pPr>
            <w:r>
              <w:rPr>
                <w:rFonts w:hint="eastAsia" w:ascii="仿宋_GB2312" w:hAnsi="Times New Roman" w:eastAsia="仿宋_GB2312" w:cs="Times New Roman"/>
                <w:b/>
                <w:szCs w:val="24"/>
              </w:rPr>
              <w:t xml:space="preserve">项目其他要求  </w:t>
            </w:r>
          </w:p>
          <w:p>
            <w:pPr>
              <w:widowControl w:val="0"/>
              <w:ind w:firstLine="420" w:firstLineChars="200"/>
              <w:jc w:val="both"/>
              <w:rPr>
                <w:rFonts w:ascii="仿宋_GB2312" w:hAnsi="Times New Roman" w:eastAsia="仿宋_GB2312" w:cs="Times New Roman"/>
                <w:szCs w:val="24"/>
              </w:rPr>
            </w:pPr>
            <w:r>
              <w:rPr>
                <w:rFonts w:hint="eastAsia" w:ascii="仿宋_GB2312" w:hAnsi="Times New Roman" w:eastAsia="仿宋_GB2312" w:cs="Times New Roman"/>
                <w:szCs w:val="24"/>
              </w:rPr>
              <w:t>（1）投标方应确保投标文件中的人员信息真实、有效。</w:t>
            </w:r>
          </w:p>
          <w:p>
            <w:pPr>
              <w:widowControl w:val="0"/>
              <w:ind w:firstLine="415" w:firstLineChars="198"/>
              <w:jc w:val="both"/>
              <w:rPr>
                <w:rFonts w:ascii="仿宋_GB2312" w:hAnsi="仿宋" w:eastAsia="仿宋_GB2312" w:cs="仿宋"/>
                <w:kern w:val="0"/>
                <w:szCs w:val="21"/>
              </w:rPr>
            </w:pPr>
            <w:r>
              <w:rPr>
                <w:rFonts w:hint="eastAsia" w:ascii="仿宋_GB2312" w:hAnsi="Times New Roman" w:eastAsia="仿宋_GB2312" w:cs="Times New Roman"/>
                <w:szCs w:val="24"/>
              </w:rPr>
              <w:t>（2）投标方必须保守国家机密，不得泄漏采购方所提供的属国家秘密的信息和数据；未经采购方允许，不得使用或者以其它方式给任何第三方提供本项目的相关信息或数据。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70" w:type="pct"/>
            <w:vMerge w:val="restart"/>
          </w:tcPr>
          <w:p>
            <w:pPr>
              <w:widowControl w:val="0"/>
              <w:jc w:val="center"/>
              <w:rPr>
                <w:rFonts w:ascii="仿宋" w:hAnsi="仿宋" w:eastAsia="仿宋" w:cs="仿宋"/>
                <w:kern w:val="0"/>
                <w:szCs w:val="21"/>
              </w:rPr>
            </w:pPr>
            <w:r>
              <w:rPr>
                <w:rFonts w:hint="eastAsia" w:ascii="仿宋" w:hAnsi="仿宋" w:eastAsia="仿宋" w:cs="仿宋"/>
                <w:kern w:val="0"/>
                <w:szCs w:val="21"/>
              </w:rPr>
              <w:t>其他要求</w:t>
            </w:r>
          </w:p>
        </w:tc>
        <w:tc>
          <w:tcPr>
            <w:tcW w:w="4130" w:type="pct"/>
            <w:gridSpan w:val="4"/>
          </w:tcPr>
          <w:p>
            <w:pPr>
              <w:widowControl w:val="0"/>
              <w:rPr>
                <w:rFonts w:ascii="仿宋" w:hAnsi="仿宋" w:eastAsia="仿宋" w:cs="仿宋"/>
                <w:kern w:val="0"/>
                <w:szCs w:val="21"/>
              </w:rPr>
            </w:pPr>
            <w:r>
              <w:rPr>
                <w:rFonts w:hint="eastAsia" w:ascii="仿宋" w:hAnsi="仿宋" w:eastAsia="仿宋" w:cs="仿宋"/>
                <w:b/>
                <w:szCs w:val="21"/>
              </w:rPr>
              <w:t>特定供应商的名称、项目负责人及联系方式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70" w:type="pct"/>
            <w:vMerge w:val="continue"/>
          </w:tcPr>
          <w:p>
            <w:pPr>
              <w:widowControl w:val="0"/>
              <w:rPr>
                <w:rFonts w:ascii="仿宋" w:hAnsi="仿宋" w:eastAsia="仿宋" w:cs="仿宋"/>
                <w:kern w:val="0"/>
                <w:szCs w:val="21"/>
              </w:rPr>
            </w:pPr>
          </w:p>
        </w:tc>
        <w:tc>
          <w:tcPr>
            <w:tcW w:w="474" w:type="pct"/>
            <w:vMerge w:val="restart"/>
          </w:tcPr>
          <w:p>
            <w:pPr>
              <w:widowControl w:val="0"/>
              <w:rPr>
                <w:rFonts w:ascii="仿宋" w:hAnsi="仿宋" w:eastAsia="仿宋" w:cs="仿宋"/>
                <w:bCs/>
                <w:kern w:val="0"/>
                <w:szCs w:val="21"/>
              </w:rPr>
            </w:pPr>
            <w:r>
              <w:rPr>
                <w:rFonts w:hint="eastAsia" w:ascii="仿宋" w:hAnsi="仿宋" w:eastAsia="仿宋" w:cs="仿宋"/>
                <w:bCs/>
                <w:szCs w:val="21"/>
              </w:rPr>
              <w:t>特定供应商</w:t>
            </w:r>
          </w:p>
        </w:tc>
        <w:tc>
          <w:tcPr>
            <w:tcW w:w="3656" w:type="pct"/>
            <w:gridSpan w:val="3"/>
          </w:tcPr>
          <w:p>
            <w:pPr>
              <w:widowControl w:val="0"/>
              <w:rPr>
                <w:rFonts w:ascii="仿宋" w:hAnsi="仿宋" w:eastAsia="仿宋" w:cs="仿宋"/>
                <w:bCs/>
                <w:kern w:val="0"/>
                <w:szCs w:val="21"/>
              </w:rPr>
            </w:pPr>
            <w:r>
              <w:rPr>
                <w:rFonts w:hint="eastAsia" w:ascii="仿宋" w:hAnsi="仿宋" w:eastAsia="仿宋" w:cs="仿宋"/>
                <w:bCs/>
                <w:szCs w:val="21"/>
              </w:rPr>
              <w:t>单位名称：深圳市规划国土发展研究中心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70" w:type="pct"/>
            <w:vMerge w:val="continue"/>
          </w:tcPr>
          <w:p>
            <w:pPr>
              <w:widowControl w:val="0"/>
              <w:rPr>
                <w:rFonts w:ascii="仿宋" w:hAnsi="仿宋" w:eastAsia="仿宋" w:cs="仿宋"/>
                <w:kern w:val="0"/>
                <w:szCs w:val="21"/>
              </w:rPr>
            </w:pPr>
          </w:p>
        </w:tc>
        <w:tc>
          <w:tcPr>
            <w:tcW w:w="474" w:type="pct"/>
            <w:vMerge w:val="continue"/>
          </w:tcPr>
          <w:p>
            <w:pPr>
              <w:widowControl w:val="0"/>
              <w:rPr>
                <w:rFonts w:ascii="仿宋" w:hAnsi="仿宋" w:eastAsia="仿宋" w:cs="仿宋"/>
                <w:bCs/>
                <w:kern w:val="0"/>
                <w:szCs w:val="21"/>
              </w:rPr>
            </w:pPr>
          </w:p>
        </w:tc>
        <w:tc>
          <w:tcPr>
            <w:tcW w:w="3656" w:type="pct"/>
            <w:gridSpan w:val="3"/>
          </w:tcPr>
          <w:p>
            <w:pPr>
              <w:widowControl w:val="0"/>
              <w:rPr>
                <w:rFonts w:ascii="仿宋" w:hAnsi="仿宋" w:eastAsia="仿宋" w:cs="仿宋"/>
                <w:bCs/>
                <w:kern w:val="0"/>
                <w:szCs w:val="21"/>
              </w:rPr>
            </w:pPr>
            <w:r>
              <w:rPr>
                <w:rFonts w:hint="eastAsia" w:ascii="仿宋" w:hAnsi="仿宋" w:eastAsia="仿宋" w:cs="仿宋"/>
                <w:bCs/>
                <w:szCs w:val="21"/>
              </w:rPr>
              <w:t>项目经办人：张工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0" w:type="pct"/>
            <w:vMerge w:val="continue"/>
          </w:tcPr>
          <w:p>
            <w:pPr>
              <w:widowControl w:val="0"/>
              <w:rPr>
                <w:rFonts w:ascii="仿宋" w:hAnsi="仿宋" w:eastAsia="仿宋" w:cs="仿宋"/>
                <w:kern w:val="0"/>
                <w:szCs w:val="21"/>
              </w:rPr>
            </w:pPr>
          </w:p>
        </w:tc>
        <w:tc>
          <w:tcPr>
            <w:tcW w:w="474" w:type="pct"/>
            <w:vMerge w:val="continue"/>
          </w:tcPr>
          <w:p>
            <w:pPr>
              <w:widowControl w:val="0"/>
              <w:rPr>
                <w:rFonts w:ascii="仿宋" w:hAnsi="仿宋" w:eastAsia="仿宋" w:cs="仿宋"/>
                <w:bCs/>
                <w:kern w:val="0"/>
                <w:szCs w:val="21"/>
              </w:rPr>
            </w:pPr>
          </w:p>
        </w:tc>
        <w:tc>
          <w:tcPr>
            <w:tcW w:w="3656" w:type="pct"/>
            <w:gridSpan w:val="3"/>
          </w:tcPr>
          <w:p>
            <w:pPr>
              <w:widowControl w:val="0"/>
              <w:rPr>
                <w:rFonts w:ascii="仿宋" w:hAnsi="仿宋" w:eastAsia="仿宋" w:cs="仿宋"/>
                <w:bCs/>
                <w:kern w:val="0"/>
                <w:szCs w:val="21"/>
              </w:rPr>
            </w:pPr>
            <w:r>
              <w:rPr>
                <w:rFonts w:hint="eastAsia" w:ascii="仿宋" w:hAnsi="仿宋" w:eastAsia="仿宋" w:cs="仿宋"/>
                <w:bCs/>
                <w:szCs w:val="21"/>
              </w:rPr>
              <w:t>联系电话：0755-83508985</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URW Bookman">
    <w:panose1 w:val="000004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等线 Light">
    <w:altName w:val="URW Bookman"/>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E10A41"/>
    <w:multiLevelType w:val="multilevel"/>
    <w:tmpl w:val="20E10A4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80F5157"/>
    <w:multiLevelType w:val="multilevel"/>
    <w:tmpl w:val="380F515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BB4"/>
    <w:rsid w:val="00000814"/>
    <w:rsid w:val="000165A6"/>
    <w:rsid w:val="00027C08"/>
    <w:rsid w:val="00036383"/>
    <w:rsid w:val="00045202"/>
    <w:rsid w:val="000579C6"/>
    <w:rsid w:val="000A720F"/>
    <w:rsid w:val="00102B3B"/>
    <w:rsid w:val="001758A3"/>
    <w:rsid w:val="00183134"/>
    <w:rsid w:val="001A4AAF"/>
    <w:rsid w:val="001C15E8"/>
    <w:rsid w:val="001C5B31"/>
    <w:rsid w:val="001D5DA2"/>
    <w:rsid w:val="001E070E"/>
    <w:rsid w:val="00207721"/>
    <w:rsid w:val="00207FF2"/>
    <w:rsid w:val="00237A1C"/>
    <w:rsid w:val="00240D57"/>
    <w:rsid w:val="0025321C"/>
    <w:rsid w:val="0026525D"/>
    <w:rsid w:val="00295FCF"/>
    <w:rsid w:val="002D01D3"/>
    <w:rsid w:val="002D22D3"/>
    <w:rsid w:val="002D3691"/>
    <w:rsid w:val="002E5E1D"/>
    <w:rsid w:val="003207AA"/>
    <w:rsid w:val="00331D9D"/>
    <w:rsid w:val="00355CC0"/>
    <w:rsid w:val="00365D05"/>
    <w:rsid w:val="00366DE7"/>
    <w:rsid w:val="003910DD"/>
    <w:rsid w:val="00393D11"/>
    <w:rsid w:val="003B58A2"/>
    <w:rsid w:val="003C6E1B"/>
    <w:rsid w:val="003E39EC"/>
    <w:rsid w:val="00405DAA"/>
    <w:rsid w:val="004072AF"/>
    <w:rsid w:val="0044678D"/>
    <w:rsid w:val="0047718F"/>
    <w:rsid w:val="004B7662"/>
    <w:rsid w:val="004B7CFA"/>
    <w:rsid w:val="004D4EF5"/>
    <w:rsid w:val="005170EB"/>
    <w:rsid w:val="00537B5C"/>
    <w:rsid w:val="005927FC"/>
    <w:rsid w:val="005D5222"/>
    <w:rsid w:val="005E08A9"/>
    <w:rsid w:val="006026FB"/>
    <w:rsid w:val="00617575"/>
    <w:rsid w:val="00620F26"/>
    <w:rsid w:val="0063185E"/>
    <w:rsid w:val="0063367E"/>
    <w:rsid w:val="00637973"/>
    <w:rsid w:val="00641CE4"/>
    <w:rsid w:val="00645768"/>
    <w:rsid w:val="00664A12"/>
    <w:rsid w:val="00676DCB"/>
    <w:rsid w:val="00701925"/>
    <w:rsid w:val="00712775"/>
    <w:rsid w:val="00724BB4"/>
    <w:rsid w:val="00735CC8"/>
    <w:rsid w:val="00754FDE"/>
    <w:rsid w:val="00764D98"/>
    <w:rsid w:val="007937C3"/>
    <w:rsid w:val="007A41CE"/>
    <w:rsid w:val="007B1A55"/>
    <w:rsid w:val="007F5495"/>
    <w:rsid w:val="008205C4"/>
    <w:rsid w:val="00843697"/>
    <w:rsid w:val="00850304"/>
    <w:rsid w:val="00864CA7"/>
    <w:rsid w:val="00875EE5"/>
    <w:rsid w:val="008A067F"/>
    <w:rsid w:val="008A0E1E"/>
    <w:rsid w:val="00904AC7"/>
    <w:rsid w:val="00924961"/>
    <w:rsid w:val="00961E18"/>
    <w:rsid w:val="00966C8C"/>
    <w:rsid w:val="009C3632"/>
    <w:rsid w:val="009D28E5"/>
    <w:rsid w:val="009E4EE0"/>
    <w:rsid w:val="009F2159"/>
    <w:rsid w:val="00A14832"/>
    <w:rsid w:val="00A15D2E"/>
    <w:rsid w:val="00A32AE8"/>
    <w:rsid w:val="00A3503D"/>
    <w:rsid w:val="00A3702F"/>
    <w:rsid w:val="00A859D1"/>
    <w:rsid w:val="00A87612"/>
    <w:rsid w:val="00AA3D25"/>
    <w:rsid w:val="00AB5B79"/>
    <w:rsid w:val="00AF7137"/>
    <w:rsid w:val="00B04F7F"/>
    <w:rsid w:val="00B40E64"/>
    <w:rsid w:val="00B47BA5"/>
    <w:rsid w:val="00B7280B"/>
    <w:rsid w:val="00BA01FF"/>
    <w:rsid w:val="00BB30ED"/>
    <w:rsid w:val="00BB557B"/>
    <w:rsid w:val="00BE234F"/>
    <w:rsid w:val="00BE3175"/>
    <w:rsid w:val="00C0744E"/>
    <w:rsid w:val="00C12C10"/>
    <w:rsid w:val="00C26F53"/>
    <w:rsid w:val="00C373A2"/>
    <w:rsid w:val="00C511DB"/>
    <w:rsid w:val="00C63A83"/>
    <w:rsid w:val="00C70D85"/>
    <w:rsid w:val="00C80681"/>
    <w:rsid w:val="00CB0CC2"/>
    <w:rsid w:val="00CD4AE6"/>
    <w:rsid w:val="00D03512"/>
    <w:rsid w:val="00D31C7E"/>
    <w:rsid w:val="00D40130"/>
    <w:rsid w:val="00D4557F"/>
    <w:rsid w:val="00D74A2C"/>
    <w:rsid w:val="00D968CC"/>
    <w:rsid w:val="00DB04BE"/>
    <w:rsid w:val="00DC27E8"/>
    <w:rsid w:val="00E17FE6"/>
    <w:rsid w:val="00E324E8"/>
    <w:rsid w:val="00E44AE9"/>
    <w:rsid w:val="00E71413"/>
    <w:rsid w:val="00E90D60"/>
    <w:rsid w:val="00EB12B4"/>
    <w:rsid w:val="00EB3157"/>
    <w:rsid w:val="00ED2F2D"/>
    <w:rsid w:val="00FD5325"/>
    <w:rsid w:val="1FFF7A6D"/>
    <w:rsid w:val="485DF738"/>
    <w:rsid w:val="5FDBC25F"/>
    <w:rsid w:val="6FEF5395"/>
    <w:rsid w:val="9797D688"/>
    <w:rsid w:val="BFAF61D3"/>
    <w:rsid w:val="FACDE96A"/>
    <w:rsid w:val="FB7E5F23"/>
    <w:rsid w:val="FDD91F71"/>
    <w:rsid w:val="FFFF2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78" w:lineRule="auto"/>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1"/>
    <w:qFormat/>
    <w:uiPriority w:val="0"/>
    <w:pPr>
      <w:widowControl w:val="0"/>
      <w:spacing w:before="61"/>
      <w:ind w:left="102"/>
    </w:pPr>
    <w:rPr>
      <w:rFonts w:ascii="宋体" w:hAnsi="宋体" w:eastAsia="宋体"/>
      <w:kern w:val="0"/>
      <w:sz w:val="28"/>
      <w:szCs w:val="28"/>
      <w:lang w:eastAsia="en-US"/>
    </w:rPr>
  </w:style>
  <w:style w:type="paragraph" w:styleId="3">
    <w:name w:val="Title"/>
    <w:basedOn w:val="1"/>
    <w:next w:val="1"/>
    <w:link w:val="13"/>
    <w:qFormat/>
    <w:uiPriority w:val="10"/>
    <w:pPr>
      <w:spacing w:before="240" w:after="60"/>
      <w:jc w:val="center"/>
      <w:outlineLvl w:val="0"/>
    </w:pPr>
    <w:rPr>
      <w:rFonts w:asciiTheme="majorHAnsi" w:hAnsiTheme="majorHAnsi" w:eastAsiaTheme="majorEastAsia" w:cstheme="majorBidi"/>
      <w:b/>
      <w:bCs/>
      <w:sz w:val="32"/>
      <w:szCs w:val="32"/>
    </w:rPr>
  </w:style>
  <w:style w:type="paragraph" w:styleId="4">
    <w:name w:val="annotation text"/>
    <w:basedOn w:val="1"/>
    <w:link w:val="12"/>
    <w:qFormat/>
    <w:uiPriority w:val="0"/>
    <w:pPr>
      <w:spacing w:line="259" w:lineRule="auto"/>
    </w:pPr>
    <w:rPr>
      <w:rFonts w:ascii="等线" w:hAnsi="等线" w:eastAsia="等线" w:cs="Times New Roman"/>
      <w:kern w:val="0"/>
      <w:sz w:val="22"/>
    </w:rPr>
  </w:style>
  <w:style w:type="paragraph" w:styleId="5">
    <w:name w:val="footer"/>
    <w:basedOn w:val="1"/>
    <w:link w:val="10"/>
    <w:unhideWhenUsed/>
    <w:qFormat/>
    <w:uiPriority w:val="99"/>
    <w:pPr>
      <w:tabs>
        <w:tab w:val="center" w:pos="4153"/>
        <w:tab w:val="right" w:pos="8306"/>
      </w:tabs>
      <w:snapToGrid w:val="0"/>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character" w:customStyle="1" w:styleId="11">
    <w:name w:val="正文文本 字符"/>
    <w:basedOn w:val="8"/>
    <w:link w:val="2"/>
    <w:qFormat/>
    <w:uiPriority w:val="0"/>
    <w:rPr>
      <w:rFonts w:ascii="宋体" w:hAnsi="宋体" w:eastAsia="宋体"/>
      <w:kern w:val="0"/>
      <w:sz w:val="28"/>
      <w:szCs w:val="28"/>
      <w:lang w:eastAsia="en-US"/>
    </w:rPr>
  </w:style>
  <w:style w:type="character" w:customStyle="1" w:styleId="12">
    <w:name w:val="批注文字 字符"/>
    <w:basedOn w:val="8"/>
    <w:link w:val="4"/>
    <w:qFormat/>
    <w:uiPriority w:val="0"/>
    <w:rPr>
      <w:rFonts w:ascii="等线" w:hAnsi="等线" w:eastAsia="等线" w:cs="Times New Roman"/>
      <w:kern w:val="0"/>
      <w:sz w:val="22"/>
    </w:rPr>
  </w:style>
  <w:style w:type="character" w:customStyle="1" w:styleId="13">
    <w:name w:val="标题 字符"/>
    <w:basedOn w:val="8"/>
    <w:link w:val="3"/>
    <w:qFormat/>
    <w:uiPriority w:val="10"/>
    <w:rPr>
      <w:rFonts w:asciiTheme="majorHAnsi" w:hAnsiTheme="majorHAnsi" w:eastAsiaTheme="majorEastAsia" w:cstheme="majorBidi"/>
      <w:b/>
      <w:bCs/>
      <w:sz w:val="32"/>
      <w:szCs w:val="32"/>
    </w:rPr>
  </w:style>
  <w:style w:type="paragraph" w:styleId="14">
    <w:name w:val="List Paragraph"/>
    <w:basedOn w:val="1"/>
    <w:qFormat/>
    <w:uiPriority w:val="34"/>
    <w:pPr>
      <w:ind w:firstLine="420" w:firstLineChars="200"/>
    </w:pPr>
  </w:style>
  <w:style w:type="paragraph" w:customStyle="1" w:styleId="15">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664</Words>
  <Characters>3790</Characters>
  <Lines>31</Lines>
  <Paragraphs>8</Paragraphs>
  <TotalTime>54</TotalTime>
  <ScaleCrop>false</ScaleCrop>
  <LinksUpToDate>false</LinksUpToDate>
  <CharactersWithSpaces>4446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2025-02-21T19:51:00Z</dcterms:created>
  <dc:creator>FZ</dc:creator>
  <cp:lastModifiedBy>zjl</cp:lastModifiedBy>
  <dcterms:modified xsi:type="dcterms:W3CDTF">2025-06-03T10:39:07Z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