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szCs w:val="32"/>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政府采购违法行为风险知悉确认书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一、本公司已充分知悉“隐瞒真实情况，提供虚假资料”的法定情形，相关情形包括但不限于</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二、本公司已充分知悉“与其他采购参加人串通投标”的法定情形，相关情形包括但不限于：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（一）投标供应商之间相互约定给予未中标的供应商利益补偿。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（七）不同投标人的投标报价呈规律性差异。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（八）不同投标人的投标保证金从同一单位或者个人的账户转出。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（九）主管部门依照法律、法规认定的其他情形。</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三、本公司已充分知悉下列情形所对应的法律风险，并在投标前已对相关风险事项进行排查。</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（一）对于从其他主体获取的投标资料，供应商应审慎核查，确保投标资料的真实性。</w:t>
      </w:r>
      <w:r>
        <w:rPr>
          <w:rFonts w:hint="eastAsia" w:ascii="仿宋" w:hAnsi="仿宋" w:eastAsia="仿宋" w:cs="仿宋"/>
          <w:b/>
          <w:bCs/>
          <w:sz w:val="28"/>
          <w:szCs w:val="28"/>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（三）对于涉及安全生产、特种作业、抢险救灾、防疫等政府采购项目，供应商实施提供虚假资料、串通投标等违法行为的，主管部门将依法从严处理。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四、本公司已充分知悉政府采购违法、违规行为的法律后果。</w:t>
      </w:r>
      <w:r>
        <w:rPr>
          <w:rFonts w:hint="eastAsia" w:ascii="仿宋" w:hAnsi="仿宋" w:eastAsia="仿宋" w:cs="仿宋"/>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highlight w:val="yellow"/>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负责人/投标授权代表签名：</w:t>
      </w:r>
    </w:p>
    <w:p>
      <w:pPr>
        <w:keepNext w:val="0"/>
        <w:keepLines w:val="0"/>
        <w:pageBreakBefore w:val="0"/>
        <w:widowControl w:val="0"/>
        <w:kinsoku/>
        <w:wordWrap/>
        <w:overflowPunct/>
        <w:topLinePunct w:val="0"/>
        <w:autoSpaceDE/>
        <w:autoSpaceDN/>
        <w:bidi w:val="0"/>
        <w:adjustRightInd/>
        <w:snapToGrid/>
        <w:spacing w:line="5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知悉人（公章）：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1D1721F0"/>
    <w:rsid w:val="1D1721F0"/>
    <w:rsid w:val="313E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autoRedefine/>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2023-09-12T06:43:00Z</dcterms:created>
  <dc:creator>嘉琪</dc:creator>
  <cp:lastModifiedBy>罗利行</cp:lastModifiedBy>
  <dcterms:modified xsi:type="dcterms:W3CDTF">2024-03-20T02:31:47Z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BAE1FEBB12854813BC4145E0577FD7BF_11</vt:lpwstr>
  </property>
</Properties>
</file>