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2FFA5">
      <w:pPr>
        <w:pStyle w:val="4"/>
        <w:spacing w:before="0" w:after="0" w:line="240" w:lineRule="auto"/>
        <w:jc w:val="center"/>
        <w:rPr>
          <w:rFonts w:ascii="方正小标宋_GBK" w:hAnsi="方正小标宋_GBK" w:eastAsia="方正小标宋_GBK" w:cs="方正黑体_GBK"/>
          <w:sz w:val="32"/>
          <w:szCs w:val="32"/>
        </w:rPr>
      </w:pPr>
      <w:r>
        <w:rPr>
          <w:rFonts w:hint="eastAsia" w:ascii="方正小标宋_GBK" w:hAnsi="方正小标宋_GBK" w:eastAsia="方正小标宋_GBK" w:cs="方正黑体_GBK"/>
          <w:sz w:val="32"/>
          <w:szCs w:val="32"/>
        </w:rPr>
        <w:t>国际红树林中心网站建设服务项目</w:t>
      </w:r>
    </w:p>
    <w:p w14:paraId="07E6228E">
      <w:pPr>
        <w:pStyle w:val="4"/>
        <w:spacing w:before="0" w:after="0" w:line="240" w:lineRule="auto"/>
        <w:jc w:val="center"/>
        <w:rPr>
          <w:rFonts w:ascii="方正小标宋_GBK" w:hAnsi="方正小标宋_GBK" w:eastAsia="方正小标宋_GBK" w:cs="方正黑体_GBK"/>
          <w:sz w:val="32"/>
          <w:szCs w:val="32"/>
        </w:rPr>
      </w:pPr>
      <w:r>
        <w:rPr>
          <w:rFonts w:ascii="方正小标宋_GBK" w:hAnsi="方正小标宋_GBK" w:eastAsia="方正小标宋_GBK" w:cs="方正黑体_GBK"/>
          <w:sz w:val="32"/>
          <w:szCs w:val="32"/>
        </w:rPr>
        <w:tab/>
      </w:r>
      <w:r>
        <w:rPr>
          <w:rFonts w:hint="eastAsia" w:ascii="方正小标宋_GBK" w:hAnsi="方正小标宋_GBK" w:eastAsia="方正小标宋_GBK" w:cs="方正黑体_GBK"/>
          <w:sz w:val="32"/>
          <w:szCs w:val="32"/>
        </w:rPr>
        <w:t>采购需求文件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14:paraId="64D3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60" w:type="dxa"/>
            <w:vAlign w:val="center"/>
          </w:tcPr>
          <w:p w14:paraId="22C84B40">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项目名称</w:t>
            </w:r>
          </w:p>
        </w:tc>
        <w:tc>
          <w:tcPr>
            <w:tcW w:w="7407" w:type="dxa"/>
            <w:gridSpan w:val="4"/>
            <w:vAlign w:val="center"/>
          </w:tcPr>
          <w:p w14:paraId="78FB896C">
            <w:pPr>
              <w:numPr>
                <w:ilvl w:val="255"/>
                <w:numId w:val="0"/>
              </w:num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国际红树林中心网站建设服务项目</w:t>
            </w:r>
          </w:p>
        </w:tc>
      </w:tr>
      <w:tr w14:paraId="42DB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14:paraId="32AE5A80">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采购人名称</w:t>
            </w:r>
          </w:p>
        </w:tc>
        <w:tc>
          <w:tcPr>
            <w:tcW w:w="3780" w:type="dxa"/>
            <w:gridSpan w:val="2"/>
            <w:vAlign w:val="center"/>
          </w:tcPr>
          <w:p w14:paraId="65D2BB29">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国际红树林中心临时秘书处</w:t>
            </w:r>
          </w:p>
        </w:tc>
        <w:tc>
          <w:tcPr>
            <w:tcW w:w="1366" w:type="dxa"/>
            <w:vAlign w:val="center"/>
          </w:tcPr>
          <w:p w14:paraId="60630BDA">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采购方式</w:t>
            </w:r>
          </w:p>
        </w:tc>
        <w:tc>
          <w:tcPr>
            <w:tcW w:w="2261" w:type="dxa"/>
            <w:vAlign w:val="center"/>
          </w:tcPr>
          <w:p w14:paraId="52CAA2FB">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直接确定供应商</w:t>
            </w:r>
          </w:p>
        </w:tc>
      </w:tr>
      <w:tr w14:paraId="104E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14:paraId="71A0B1C8">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计划立项批文号</w:t>
            </w:r>
          </w:p>
        </w:tc>
        <w:tc>
          <w:tcPr>
            <w:tcW w:w="3780" w:type="dxa"/>
            <w:gridSpan w:val="2"/>
            <w:vAlign w:val="center"/>
          </w:tcPr>
          <w:p w14:paraId="3CD13B85">
            <w:pPr>
              <w:jc w:val="left"/>
              <w:rPr>
                <w:rFonts w:ascii="方正仿宋_GBK" w:hAnsi="方正仿宋_GBK" w:eastAsia="方正仿宋_GBK" w:cs="仿宋"/>
                <w:color w:val="000000"/>
                <w:szCs w:val="21"/>
                <w:lang w:val="en"/>
              </w:rPr>
            </w:pPr>
            <w:r>
              <w:rPr>
                <w:rFonts w:ascii="方正仿宋_GBK" w:hAnsi="方正仿宋_GBK" w:eastAsia="方正仿宋_GBK" w:cs="仿宋"/>
                <w:color w:val="000000"/>
                <w:szCs w:val="21"/>
                <w:lang w:val="en"/>
              </w:rPr>
              <w:t xml:space="preserve"> </w:t>
            </w:r>
          </w:p>
        </w:tc>
        <w:tc>
          <w:tcPr>
            <w:tcW w:w="1366" w:type="dxa"/>
            <w:vAlign w:val="center"/>
          </w:tcPr>
          <w:p w14:paraId="41E52C84">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资金来源</w:t>
            </w:r>
          </w:p>
        </w:tc>
        <w:tc>
          <w:tcPr>
            <w:tcW w:w="2261" w:type="dxa"/>
            <w:vAlign w:val="center"/>
          </w:tcPr>
          <w:p w14:paraId="0FE99D92">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部门预算</w:t>
            </w:r>
          </w:p>
        </w:tc>
      </w:tr>
      <w:tr w14:paraId="5711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14:paraId="34621297">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财政预算限额（元）</w:t>
            </w:r>
          </w:p>
        </w:tc>
        <w:tc>
          <w:tcPr>
            <w:tcW w:w="3780" w:type="dxa"/>
            <w:gridSpan w:val="2"/>
            <w:vAlign w:val="center"/>
          </w:tcPr>
          <w:p w14:paraId="316FF7F5">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178,000元</w:t>
            </w:r>
          </w:p>
        </w:tc>
        <w:tc>
          <w:tcPr>
            <w:tcW w:w="1366" w:type="dxa"/>
            <w:vAlign w:val="center"/>
          </w:tcPr>
          <w:p w14:paraId="2F884853">
            <w:pPr>
              <w:jc w:val="left"/>
              <w:rPr>
                <w:rFonts w:ascii="方正仿宋_GBK" w:hAnsi="方正仿宋_GBK" w:eastAsia="方正仿宋_GBK" w:cs="仿宋"/>
                <w:color w:val="000000"/>
                <w:szCs w:val="21"/>
              </w:rPr>
            </w:pPr>
          </w:p>
        </w:tc>
        <w:tc>
          <w:tcPr>
            <w:tcW w:w="2261" w:type="dxa"/>
            <w:vAlign w:val="center"/>
          </w:tcPr>
          <w:p w14:paraId="1A4B5539">
            <w:pPr>
              <w:jc w:val="left"/>
              <w:rPr>
                <w:rFonts w:ascii="方正仿宋_GBK" w:hAnsi="方正仿宋_GBK" w:eastAsia="方正仿宋_GBK" w:cs="仿宋"/>
                <w:color w:val="000000"/>
                <w:szCs w:val="21"/>
              </w:rPr>
            </w:pPr>
          </w:p>
        </w:tc>
      </w:tr>
      <w:tr w14:paraId="67A1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14:paraId="471CBD4A">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项目背景</w:t>
            </w:r>
          </w:p>
        </w:tc>
        <w:tc>
          <w:tcPr>
            <w:tcW w:w="7407" w:type="dxa"/>
            <w:gridSpan w:val="4"/>
            <w:vAlign w:val="center"/>
          </w:tcPr>
          <w:p w14:paraId="349697B3">
            <w:pPr>
              <w:pStyle w:val="20"/>
              <w:adjustRightInd w:val="0"/>
              <w:spacing w:line="36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2022年11月5日，习近平主席在《湿地公约》第十四届缔约方大会开幕式上的致辞：推动国际交流合作，保护4条途经中国的候鸟迁飞通道，在深圳建立“国际红树林中心”，支持举办全球滨海论坛会议。</w:t>
            </w:r>
          </w:p>
          <w:p w14:paraId="10468360">
            <w:pPr>
              <w:pStyle w:val="20"/>
              <w:adjustRightInd w:val="0"/>
              <w:spacing w:line="36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2023年9月6日，《湿地公约》常委会第62次会议审议通过了中国提交的关于在深圳建立国际红树林中心的区域动议提案，标志着国际红树林中心（以下简称“中心”）正式落户深圳。</w:t>
            </w:r>
          </w:p>
          <w:p w14:paraId="7C2AA914">
            <w:pPr>
              <w:pStyle w:val="20"/>
              <w:adjustRightInd w:val="0"/>
              <w:spacing w:line="36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2024年11月6日，中心签署仪式在深圳市成功举办，首批18个创始成员国代表共同签署《成立协定》并为中心揭牌，标志着中心正式进入实体化运行。</w:t>
            </w:r>
          </w:p>
          <w:p w14:paraId="0BA54EBE">
            <w:pPr>
              <w:pStyle w:val="20"/>
              <w:adjustRightInd w:val="0"/>
              <w:spacing w:line="36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中心的使命是推动红树林保护、修复、合理与可持续利用方面的全球合作与共同行动，加强《湿地公约》以及当前和未来其他相关环境承诺的履行，包括落实《昆明—蒙特利尔全球生物多样性框架》《巴黎协定》《2030年可持续发展议程》及其可持续发展目标。</w:t>
            </w:r>
          </w:p>
          <w:p w14:paraId="5FCA86D8">
            <w:pPr>
              <w:pStyle w:val="20"/>
              <w:adjustRightInd w:val="0"/>
              <w:spacing w:line="36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中心的目标是推动在红树林保护、修复、合理与可持续利用方面的知识共享与合作研究；强化红树林保护、修复、合理与可持续利用方面的技术转让、科技合作与培训；建立红树林和邻近湿地的教育、信息、交流和公众意识机制；开展并加强红树林保护、修复、合理与可持续利用方面的能力建设与试点项目。</w:t>
            </w:r>
          </w:p>
          <w:p w14:paraId="77A3F2AB">
            <w:pPr>
              <w:pStyle w:val="20"/>
              <w:adjustRightInd w:val="0"/>
              <w:spacing w:line="36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为向国际社会充分展示中心工作成果和相关信息，提升中心国际影响力和知名度，根据中心2025年度工作计划及《国际红树林中心建设工作领导小组办公室第13次会议纪要》（附件1）相关要求，拟开展中心官方网站开发设计建设工作。</w:t>
            </w:r>
          </w:p>
        </w:tc>
      </w:tr>
      <w:tr w14:paraId="4C1E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14:paraId="39DFF3F0">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项目前期设计、规划论证单位</w:t>
            </w:r>
          </w:p>
        </w:tc>
        <w:tc>
          <w:tcPr>
            <w:tcW w:w="7407" w:type="dxa"/>
            <w:gridSpan w:val="4"/>
            <w:vAlign w:val="center"/>
          </w:tcPr>
          <w:p w14:paraId="5F9E0478">
            <w:pPr>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无。</w:t>
            </w:r>
          </w:p>
        </w:tc>
      </w:tr>
      <w:tr w14:paraId="03E4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43219FE8">
            <w:pPr>
              <w:jc w:val="center"/>
              <w:rPr>
                <w:rFonts w:ascii="方正仿宋_GBK" w:hAnsi="方正仿宋_GBK" w:eastAsia="方正仿宋_GBK" w:cs="仿宋"/>
                <w:color w:val="000000"/>
                <w:szCs w:val="21"/>
              </w:rPr>
            </w:pPr>
            <w:r>
              <w:rPr>
                <w:rFonts w:hint="eastAsia" w:ascii="方正仿宋_GBK" w:hAnsi="方正仿宋_GBK" w:eastAsia="方正仿宋_GBK" w:cs="仿宋"/>
                <w:color w:val="000000"/>
                <w:kern w:val="0"/>
                <w:szCs w:val="21"/>
              </w:rPr>
              <w:t>投标人资质要求</w:t>
            </w:r>
          </w:p>
        </w:tc>
        <w:tc>
          <w:tcPr>
            <w:tcW w:w="7407" w:type="dxa"/>
            <w:gridSpan w:val="4"/>
          </w:tcPr>
          <w:p w14:paraId="7C0066D0">
            <w:pPr>
              <w:jc w:val="left"/>
              <w:rPr>
                <w:rFonts w:ascii="方正仿宋_GBK" w:hAnsi="方正仿宋_GBK" w:eastAsia="方正仿宋_GBK" w:cs="仿宋"/>
                <w:b/>
                <w:color w:val="000000"/>
                <w:kern w:val="0"/>
                <w:szCs w:val="21"/>
              </w:rPr>
            </w:pPr>
            <w:r>
              <w:rPr>
                <w:rFonts w:hint="eastAsia" w:ascii="方正仿宋_GBK" w:hAnsi="方正仿宋_GBK" w:eastAsia="方正仿宋_GBK" w:cs="仿宋"/>
                <w:b/>
                <w:color w:val="000000"/>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36752A1B">
            <w:pPr>
              <w:ind w:firstLine="420" w:firstLineChars="200"/>
              <w:jc w:val="left"/>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szCs w:val="21"/>
              </w:rPr>
              <w:t>1、</w:t>
            </w:r>
            <w:r>
              <w:rPr>
                <w:rFonts w:hint="eastAsia" w:ascii="方正仿宋_GBK" w:hAnsi="方正仿宋_GBK" w:eastAsia="方正仿宋_GBK" w:cs="仿宋"/>
                <w:color w:val="000000"/>
                <w:kern w:val="0"/>
                <w:szCs w:val="21"/>
              </w:rPr>
              <w:t>具有独立法人资格；</w:t>
            </w:r>
          </w:p>
          <w:p w14:paraId="47DD210E">
            <w:pPr>
              <w:ind w:firstLine="420" w:firstLineChars="200"/>
              <w:jc w:val="left"/>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szCs w:val="21"/>
              </w:rPr>
              <w:t>2、</w:t>
            </w:r>
            <w:r>
              <w:rPr>
                <w:rFonts w:hint="eastAsia" w:ascii="方正仿宋_GBK" w:hAnsi="方正仿宋_GBK" w:eastAsia="方正仿宋_GBK" w:cs="仿宋"/>
                <w:color w:val="000000"/>
                <w:kern w:val="0"/>
                <w:szCs w:val="21"/>
              </w:rPr>
              <w:t>本项目不接受联合体投标，不允许分包，（不接受投标人选用进口产品参与投标）。</w:t>
            </w:r>
          </w:p>
          <w:p w14:paraId="0949E85C">
            <w:pPr>
              <w:ind w:firstLine="420" w:firstLineChars="200"/>
              <w:jc w:val="left"/>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szCs w:val="21"/>
              </w:rPr>
              <w:t>3、</w:t>
            </w:r>
            <w:r>
              <w:rPr>
                <w:rFonts w:hint="eastAsia" w:ascii="方正仿宋_GBK" w:hAnsi="方正仿宋_GBK" w:eastAsia="方正仿宋_GBK" w:cs="仿宋"/>
                <w:color w:val="000000"/>
                <w:kern w:val="0"/>
                <w:szCs w:val="21"/>
              </w:rPr>
              <w:t>参与本项目投标前三年内，在经营活动中没有重大违法记录（由供应商在《供应商声明函》中作出声明）。</w:t>
            </w:r>
          </w:p>
          <w:p w14:paraId="7363D5D4">
            <w:pPr>
              <w:ind w:firstLine="420" w:firstLineChars="200"/>
              <w:jc w:val="left"/>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szCs w:val="21"/>
              </w:rPr>
              <w:t>4、</w:t>
            </w:r>
            <w:r>
              <w:rPr>
                <w:rFonts w:hint="eastAsia" w:ascii="方正仿宋_GBK" w:hAnsi="方正仿宋_GBK" w:eastAsia="方正仿宋_GBK" w:cs="仿宋"/>
                <w:color w:val="000000"/>
                <w:kern w:val="0"/>
                <w:szCs w:val="21"/>
              </w:rPr>
              <w:t>参与本项目政府采购活动时不存在被有关部门禁止参与政府采购活动且在有效期内的情况（由供应商在《供应商声明函》中作出声明）。</w:t>
            </w:r>
          </w:p>
          <w:p w14:paraId="580F1FFF">
            <w:pPr>
              <w:ind w:firstLine="420" w:firstLineChars="200"/>
              <w:jc w:val="left"/>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szCs w:val="21"/>
              </w:rPr>
              <w:t>5、</w:t>
            </w:r>
            <w:r>
              <w:rPr>
                <w:rFonts w:hint="eastAsia" w:ascii="方正仿宋_GBK" w:hAnsi="方正仿宋_GBK" w:eastAsia="方正仿宋_GBK" w:cs="仿宋"/>
                <w:color w:val="000000"/>
                <w:kern w:val="0"/>
                <w:szCs w:val="21"/>
              </w:rPr>
              <w:t>具备《中华人民共和国政府采购法》第二十二条第一款的条件（由供应商在《供应商声明函》中作出声明）。</w:t>
            </w:r>
          </w:p>
          <w:p w14:paraId="574B6EC0">
            <w:pPr>
              <w:ind w:firstLine="420" w:firstLineChars="200"/>
              <w:jc w:val="left"/>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szCs w:val="21"/>
              </w:rPr>
              <w:t>6、</w:t>
            </w:r>
            <w:r>
              <w:rPr>
                <w:rFonts w:hint="eastAsia" w:ascii="方正仿宋_GBK" w:hAnsi="方正仿宋_GBK" w:eastAsia="方正仿宋_GBK" w:cs="仿宋"/>
                <w:color w:val="000000"/>
                <w:kern w:val="0"/>
                <w:szCs w:val="21"/>
              </w:rPr>
              <w:t>未被列入失信被执行人、重大税收违法案件当事人名单、政府采购严重违法失信行为记录名单（由供应商在《供应商声明函》中作出声明）。</w:t>
            </w:r>
          </w:p>
        </w:tc>
      </w:tr>
      <w:tr w14:paraId="0CA0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72BEB9DD">
            <w:pPr>
              <w:jc w:val="center"/>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kern w:val="0"/>
                <w:szCs w:val="21"/>
              </w:rPr>
              <w:t>需求内容</w:t>
            </w:r>
          </w:p>
        </w:tc>
        <w:tc>
          <w:tcPr>
            <w:tcW w:w="7407" w:type="dxa"/>
            <w:gridSpan w:val="4"/>
          </w:tcPr>
          <w:p w14:paraId="19ED36CB">
            <w:pPr>
              <w:widowControl/>
              <w:ind w:firstLine="420" w:firstLineChars="200"/>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1、报价要求</w:t>
            </w:r>
          </w:p>
          <w:p w14:paraId="3C5BC59D">
            <w:pPr>
              <w:ind w:firstLine="210" w:firstLineChars="100"/>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1）本项目服务费不超过预算178,000元，该预算金额为包干价，包括但不限于服务成本、法定税费和企业的利润。由投标供应商根据采购文件所提供的资料自行测算投标报价；一经中标，报价总价作为中标供应商与采购人签定的合同金额。</w:t>
            </w:r>
          </w:p>
          <w:p w14:paraId="27B8F6E5">
            <w:pPr>
              <w:widowControl/>
              <w:ind w:firstLine="210" w:firstLineChars="100"/>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（2）本项目预算金额为人民币178,000</w:t>
            </w:r>
            <w:r>
              <w:rPr>
                <w:rFonts w:ascii="方正仿宋_GBK" w:hAnsi="方正仿宋_GBK" w:eastAsia="方正仿宋_GBK" w:cs="仿宋"/>
                <w:color w:val="000000"/>
                <w:szCs w:val="21"/>
              </w:rPr>
              <w:t>元</w:t>
            </w:r>
            <w:r>
              <w:rPr>
                <w:rFonts w:hint="eastAsia" w:ascii="方正仿宋_GBK" w:hAnsi="方正仿宋_GBK" w:eastAsia="方正仿宋_GBK" w:cs="仿宋"/>
                <w:color w:val="000000"/>
                <w:szCs w:val="21"/>
              </w:rPr>
              <w:t>，投标供应商的报价不得超过项目预算金额。</w:t>
            </w:r>
          </w:p>
          <w:p w14:paraId="7DE48761">
            <w:pPr>
              <w:widowControl/>
              <w:ind w:firstLine="210" w:firstLineChars="100"/>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（3）投标供应商的报价，应当是本项目采购范围和采购文件及合同条款上所列的各项内容中所述的全部，不得以任何理由予以重复。</w:t>
            </w:r>
          </w:p>
          <w:p w14:paraId="432A8C6C">
            <w:pPr>
              <w:widowControl/>
              <w:ind w:firstLine="210" w:firstLineChars="100"/>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（4）投标供应商应先到项目地点踏勘以充分了解项目的位置、情况及任何其它足以影响报价的情况，任何因忽视或误解项目情况而导致的索赔或服务期限延长申请将不获批准。</w:t>
            </w:r>
          </w:p>
          <w:p w14:paraId="5259F28F">
            <w:pPr>
              <w:pStyle w:val="23"/>
              <w:adjustRightInd w:val="0"/>
              <w:snapToGrid w:val="0"/>
              <w:spacing w:line="240" w:lineRule="auto"/>
              <w:jc w:val="left"/>
              <w:textAlignment w:val="baseline"/>
              <w:rPr>
                <w:rFonts w:ascii="方正仿宋_GBK" w:hAnsi="方正仿宋_GBK" w:eastAsia="方正仿宋_GBK" w:cs="仿宋"/>
                <w:color w:val="000000"/>
                <w:sz w:val="21"/>
                <w:szCs w:val="21"/>
              </w:rPr>
            </w:pPr>
            <w:r>
              <w:rPr>
                <w:rFonts w:hint="eastAsia" w:ascii="方正仿宋_GBK" w:hAnsi="方正仿宋_GBK" w:eastAsia="方正仿宋_GBK" w:cs="仿宋"/>
                <w:color w:val="000000"/>
                <w:sz w:val="21"/>
                <w:szCs w:val="21"/>
              </w:rPr>
              <w:t>2、付款方式：本项目分两期付款。</w:t>
            </w:r>
          </w:p>
          <w:p w14:paraId="5FBB444B">
            <w:pPr>
              <w:pStyle w:val="23"/>
              <w:adjustRightInd w:val="0"/>
              <w:snapToGrid w:val="0"/>
              <w:spacing w:line="240" w:lineRule="auto"/>
              <w:jc w:val="left"/>
              <w:textAlignment w:val="baseline"/>
              <w:rPr>
                <w:rFonts w:ascii="方正仿宋_GBK" w:hAnsi="方正仿宋_GBK" w:eastAsia="方正仿宋_GBK" w:cs="仿宋"/>
                <w:color w:val="000000"/>
                <w:sz w:val="21"/>
                <w:szCs w:val="21"/>
              </w:rPr>
            </w:pPr>
            <w:r>
              <w:rPr>
                <w:rFonts w:hint="eastAsia" w:ascii="方正仿宋_GBK" w:hAnsi="方正仿宋_GBK" w:eastAsia="方正仿宋_GBK" w:cs="仿宋"/>
                <w:color w:val="000000"/>
                <w:sz w:val="21"/>
                <w:szCs w:val="21"/>
              </w:rPr>
              <w:t>第一期：自双方签订合同之日起10个工作日内，中标方提供合法有效发票，采购方支付中标方合同总价款的50%。</w:t>
            </w:r>
          </w:p>
          <w:p w14:paraId="2E37E41D">
            <w:pPr>
              <w:pStyle w:val="23"/>
              <w:adjustRightInd w:val="0"/>
              <w:snapToGrid w:val="0"/>
              <w:spacing w:line="240" w:lineRule="auto"/>
              <w:jc w:val="left"/>
              <w:textAlignment w:val="baseline"/>
              <w:rPr>
                <w:rFonts w:ascii="方正仿宋_GBK" w:hAnsi="方正仿宋_GBK" w:eastAsia="方正仿宋_GBK" w:cs="仿宋"/>
                <w:color w:val="000000"/>
                <w:sz w:val="21"/>
                <w:szCs w:val="21"/>
              </w:rPr>
            </w:pPr>
            <w:r>
              <w:rPr>
                <w:rFonts w:hint="eastAsia" w:ascii="方正仿宋_GBK" w:hAnsi="方正仿宋_GBK" w:eastAsia="方正仿宋_GBK" w:cs="仿宋"/>
                <w:color w:val="000000"/>
                <w:sz w:val="21"/>
                <w:szCs w:val="21"/>
              </w:rPr>
              <w:t>第二期：中标方完成网站建设，并提供相关归档材料及合法有效发票，经采购方验收通过后，支付中标方合同总价款的50%。</w:t>
            </w:r>
          </w:p>
          <w:p w14:paraId="3136F178">
            <w:pPr>
              <w:widowControl/>
              <w:ind w:firstLine="420" w:firstLineChars="200"/>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3、履约保证金</w:t>
            </w:r>
          </w:p>
          <w:p w14:paraId="23DA66A1">
            <w:pPr>
              <w:widowControl/>
              <w:ind w:firstLine="420" w:firstLineChars="200"/>
              <w:jc w:val="left"/>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szCs w:val="21"/>
              </w:rPr>
              <w:t>无需缴纳履约保证金。</w:t>
            </w:r>
          </w:p>
        </w:tc>
      </w:tr>
      <w:tr w14:paraId="4215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560" w:type="dxa"/>
            <w:vAlign w:val="center"/>
          </w:tcPr>
          <w:p w14:paraId="722FF2E7">
            <w:pPr>
              <w:jc w:val="center"/>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kern w:val="0"/>
                <w:szCs w:val="21"/>
              </w:rPr>
              <w:t>具体技术要求</w:t>
            </w:r>
          </w:p>
        </w:tc>
        <w:tc>
          <w:tcPr>
            <w:tcW w:w="7407" w:type="dxa"/>
            <w:gridSpan w:val="4"/>
          </w:tcPr>
          <w:p w14:paraId="34866B20">
            <w:pPr>
              <w:ind w:firstLine="420" w:firstLineChars="200"/>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1、总体要求</w:t>
            </w:r>
          </w:p>
          <w:p w14:paraId="23C870FC">
            <w:pPr>
              <w:pStyle w:val="20"/>
              <w:adjustRightInd w:val="0"/>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规划、设计、制作中心独立门户网站，并保障网站顺利上线及半年期网站日常维护、安全保障。包括但不限于：根据国际红树林中心作为独立、非盈利性的政府间国际组织的形象定位，结合中心职能、建设历程、宣传等内容，进行视觉设计、交互设计、功能开发等。</w:t>
            </w:r>
          </w:p>
          <w:p w14:paraId="5BA33C87">
            <w:pPr>
              <w:numPr>
                <w:ilvl w:val="255"/>
                <w:numId w:val="0"/>
              </w:numPr>
              <w:ind w:firstLine="420" w:firstLineChars="200"/>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2、服务地点与时间：</w:t>
            </w:r>
          </w:p>
          <w:p w14:paraId="2055DDBD">
            <w:pPr>
              <w:numPr>
                <w:ilvl w:val="255"/>
                <w:numId w:val="0"/>
              </w:numPr>
              <w:ind w:firstLine="420" w:firstLineChars="200"/>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地点：广东省深圳市</w:t>
            </w:r>
          </w:p>
          <w:p w14:paraId="19285535">
            <w:pPr>
              <w:numPr>
                <w:ilvl w:val="255"/>
                <w:numId w:val="0"/>
              </w:numPr>
              <w:ind w:firstLine="420" w:firstLineChars="200"/>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时间：自合同签订之日起至2025年5月31日；</w:t>
            </w:r>
          </w:p>
          <w:p w14:paraId="3B5998E9">
            <w:pPr>
              <w:spacing w:before="78" w:beforeLines="25" w:after="78" w:afterLines="25"/>
              <w:ind w:firstLine="420" w:firstLineChars="200"/>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3、内容要求：</w:t>
            </w:r>
          </w:p>
          <w:p w14:paraId="774C077F">
            <w:pPr>
              <w:pStyle w:val="19"/>
              <w:spacing w:line="24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（1）网站应设计美观、风格活泼，整体符合国际红树林中心作为独立、非盈利性的政府间国际组织的形象气质。应采用先进的网站应用技术，确保平台的领先性，保障网站的整体排版布局达到简洁美观的效果。</w:t>
            </w:r>
          </w:p>
          <w:p w14:paraId="3AC87FB5">
            <w:pPr>
              <w:pStyle w:val="19"/>
              <w:spacing w:line="24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（2）网站规划导航结构和内容布局应合理，方便用户快速搜索到所需信息，全面的展示中心使命和愿景、工作推进情况、保护红树林的重要性等内容。</w:t>
            </w:r>
          </w:p>
          <w:p w14:paraId="38D8243D">
            <w:pPr>
              <w:pStyle w:val="19"/>
              <w:spacing w:line="24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3）网站应选择性能稳定和安全可靠的服务器、能够被不同的浏览器和设备正常访问、及时更新网站的内容、修复错误和漏洞、提供技术支持等以保障网站的稳定运行和用户访问的流畅性。网站应具备对用户信息和数据的安全保护等管理，以确保用户信息不被泄露。</w:t>
            </w:r>
          </w:p>
          <w:p w14:paraId="56F2F7B3">
            <w:pPr>
              <w:pStyle w:val="19"/>
              <w:spacing w:line="240" w:lineRule="auto"/>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（4）需保障网站顺利上线及提供半年期日常运营维护、安全保障等技术支持。</w:t>
            </w:r>
          </w:p>
        </w:tc>
      </w:tr>
      <w:tr w14:paraId="53B1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60" w:type="dxa"/>
          </w:tcPr>
          <w:p w14:paraId="4A6C7F40">
            <w:pPr>
              <w:jc w:val="center"/>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kern w:val="0"/>
                <w:szCs w:val="21"/>
              </w:rPr>
              <w:t>商务需求</w:t>
            </w:r>
          </w:p>
        </w:tc>
        <w:tc>
          <w:tcPr>
            <w:tcW w:w="7407" w:type="dxa"/>
            <w:gridSpan w:val="4"/>
          </w:tcPr>
          <w:p w14:paraId="3F5A9E6E">
            <w:pPr>
              <w:pStyle w:val="5"/>
              <w:spacing w:before="78" w:beforeLines="25" w:after="78" w:afterLines="25"/>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1、服务期限</w:t>
            </w:r>
          </w:p>
          <w:p w14:paraId="127CB62F">
            <w:pPr>
              <w:pStyle w:val="5"/>
              <w:spacing w:before="78" w:beforeLines="25" w:after="78" w:afterLines="25"/>
              <w:jc w:val="left"/>
              <w:rPr>
                <w:rFonts w:ascii="方正仿宋_GBK" w:hAnsi="方正仿宋_GBK" w:eastAsia="方正仿宋_GBK" w:cs="仿宋"/>
                <w:color w:val="000000"/>
                <w:szCs w:val="21"/>
              </w:rPr>
            </w:pPr>
            <w:bookmarkStart w:id="0" w:name="_Hlk132040907"/>
            <w:r>
              <w:rPr>
                <w:rFonts w:hint="eastAsia" w:ascii="方正仿宋_GBK" w:hAnsi="方正仿宋_GBK" w:eastAsia="方正仿宋_GBK" w:cs="仿宋"/>
                <w:color w:val="000000"/>
                <w:szCs w:val="21"/>
              </w:rPr>
              <w:t>合同签订之日起至2025年5月31日，</w:t>
            </w:r>
            <w:r>
              <w:rPr>
                <w:rFonts w:hint="eastAsia" w:ascii="方正仿宋_GBK" w:hAnsi="方正仿宋_GBK" w:eastAsia="方正仿宋_GBK" w:cs="仿宋"/>
                <w:szCs w:val="21"/>
              </w:rPr>
              <w:t>完成本项目的最终全部工作内容</w:t>
            </w:r>
            <w:bookmarkEnd w:id="0"/>
            <w:r>
              <w:rPr>
                <w:rFonts w:hint="eastAsia" w:ascii="方正仿宋_GBK" w:hAnsi="方正仿宋_GBK" w:eastAsia="方正仿宋_GBK" w:cs="仿宋"/>
                <w:color w:val="000000"/>
                <w:szCs w:val="21"/>
              </w:rPr>
              <w:t>。</w:t>
            </w:r>
          </w:p>
          <w:p w14:paraId="5565E2D8">
            <w:pPr>
              <w:pStyle w:val="5"/>
              <w:spacing w:before="78" w:beforeLines="25" w:after="78" w:afterLines="25"/>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2、进度安排</w:t>
            </w:r>
          </w:p>
          <w:p w14:paraId="40BC5408">
            <w:pPr>
              <w:pStyle w:val="5"/>
              <w:spacing w:before="78" w:beforeLines="25" w:after="78" w:afterLines="25"/>
              <w:jc w:val="left"/>
              <w:rPr>
                <w:rFonts w:ascii="方正仿宋_GBK" w:hAnsi="方正仿宋_GBK" w:eastAsia="方正仿宋_GBK" w:cs="仿宋"/>
                <w:color w:val="000000"/>
                <w:szCs w:val="21"/>
                <w:lang w:val="en"/>
              </w:rPr>
            </w:pPr>
            <w:r>
              <w:rPr>
                <w:rFonts w:hint="eastAsia" w:ascii="方正仿宋_GBK" w:hAnsi="方正仿宋_GBK" w:eastAsia="方正仿宋_GBK" w:cs="仿宋"/>
                <w:color w:val="000000"/>
                <w:szCs w:val="21"/>
                <w:lang w:val="en"/>
              </w:rPr>
              <w:t>合同签订后，中标人应于一周内组织项目团队启动项目有关工作。</w:t>
            </w:r>
          </w:p>
          <w:p w14:paraId="13F08F66">
            <w:pPr>
              <w:pStyle w:val="5"/>
              <w:numPr>
                <w:ilvl w:val="255"/>
                <w:numId w:val="0"/>
              </w:numPr>
              <w:spacing w:before="78" w:beforeLines="25" w:after="78" w:afterLines="25"/>
              <w:ind w:firstLine="420" w:firstLineChars="200"/>
              <w:jc w:val="left"/>
              <w:rPr>
                <w:rFonts w:ascii="方正仿宋_GBK" w:hAnsi="方正仿宋_GBK" w:eastAsia="方正仿宋_GBK" w:cs="仿宋"/>
                <w:color w:val="000000"/>
                <w:szCs w:val="21"/>
                <w:highlight w:val="cyan"/>
              </w:rPr>
            </w:pPr>
            <w:r>
              <w:rPr>
                <w:rFonts w:hint="eastAsia" w:ascii="方正仿宋_GBK" w:hAnsi="方正仿宋_GBK" w:eastAsia="方正仿宋_GBK" w:cs="仿宋"/>
                <w:color w:val="000000"/>
                <w:szCs w:val="21"/>
              </w:rPr>
              <w:t>3、成果要求</w:t>
            </w:r>
          </w:p>
          <w:p w14:paraId="0EBA0364">
            <w:pPr>
              <w:pStyle w:val="18"/>
              <w:rPr>
                <w:rFonts w:ascii="方正仿宋_GBK" w:hAnsi="方正仿宋_GBK" w:eastAsia="方正仿宋_GBK" w:cs="仿宋"/>
                <w:color w:val="000000"/>
                <w:szCs w:val="21"/>
                <w:lang w:val="en"/>
              </w:rPr>
            </w:pPr>
            <w:r>
              <w:rPr>
                <w:rFonts w:hint="eastAsia" w:ascii="方正仿宋_GBK" w:hAnsi="方正仿宋_GBK" w:eastAsia="方正仿宋_GBK" w:cs="仿宋"/>
                <w:color w:val="000000"/>
                <w:szCs w:val="21"/>
                <w:lang w:val="en"/>
              </w:rPr>
              <w:t>完成国际红树林中心网站建设并确保顺利上线。</w:t>
            </w:r>
          </w:p>
          <w:p w14:paraId="1120C3CF">
            <w:pPr>
              <w:pStyle w:val="5"/>
              <w:numPr>
                <w:ilvl w:val="255"/>
                <w:numId w:val="0"/>
              </w:numPr>
              <w:spacing w:before="78" w:beforeLines="25" w:after="78" w:afterLines="25"/>
              <w:ind w:firstLine="420" w:firstLineChars="200"/>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 xml:space="preserve">4、服务质量监督和项目验收要求 </w:t>
            </w:r>
          </w:p>
          <w:p w14:paraId="3104A3AF">
            <w:pPr>
              <w:pStyle w:val="5"/>
              <w:spacing w:before="78" w:beforeLines="25" w:after="78" w:afterLines="25"/>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按采购方的招标技术及时间要求，完成相应工作成果并全部提交后，采购方将进行项目验收。</w:t>
            </w:r>
          </w:p>
          <w:p w14:paraId="1A082EFE">
            <w:pPr>
              <w:pStyle w:val="5"/>
              <w:widowControl/>
              <w:spacing w:before="78" w:beforeLines="25" w:after="78" w:afterLines="25"/>
              <w:jc w:val="left"/>
              <w:rPr>
                <w:rFonts w:ascii="方正仿宋_GBK" w:hAnsi="方正仿宋_GBK" w:eastAsia="方正仿宋_GBK" w:cs="仿宋"/>
                <w:color w:val="000000"/>
                <w:szCs w:val="21"/>
              </w:rPr>
            </w:pPr>
            <w:r>
              <w:rPr>
                <w:rFonts w:ascii="方正仿宋_GBK" w:hAnsi="方正仿宋_GBK" w:eastAsia="方正仿宋_GBK" w:cs="仿宋"/>
                <w:color w:val="000000"/>
                <w:szCs w:val="21"/>
              </w:rPr>
              <w:t>5</w:t>
            </w:r>
            <w:r>
              <w:rPr>
                <w:rFonts w:hint="eastAsia" w:ascii="方正仿宋_GBK" w:hAnsi="方正仿宋_GBK" w:eastAsia="方正仿宋_GBK" w:cs="仿宋"/>
                <w:color w:val="000000"/>
                <w:szCs w:val="21"/>
              </w:rPr>
              <w:t>、</w:t>
            </w:r>
            <w:r>
              <w:rPr>
                <w:rFonts w:ascii="方正仿宋_GBK" w:hAnsi="方正仿宋_GBK" w:eastAsia="方正仿宋_GBK" w:cs="仿宋"/>
                <w:color w:val="000000"/>
                <w:szCs w:val="21"/>
              </w:rPr>
              <w:t>售后服务要求</w:t>
            </w:r>
          </w:p>
          <w:p w14:paraId="46FF8583">
            <w:pPr>
              <w:pStyle w:val="5"/>
              <w:spacing w:before="78" w:beforeLines="25" w:after="78" w:afterLines="25"/>
              <w:jc w:val="left"/>
              <w:rPr>
                <w:rFonts w:ascii="方正仿宋_GBK" w:hAnsi="方正仿宋_GBK" w:eastAsia="方正仿宋_GBK" w:cs="仿宋"/>
                <w:color w:val="000000"/>
                <w:szCs w:val="21"/>
              </w:rPr>
            </w:pPr>
            <w:r>
              <w:rPr>
                <w:rFonts w:ascii="方正仿宋_GBK" w:hAnsi="方正仿宋_GBK" w:eastAsia="方正仿宋_GBK" w:cs="仿宋"/>
                <w:color w:val="000000"/>
                <w:szCs w:val="21"/>
              </w:rPr>
              <w:t>项目售后服务期限自最终成果提交采购方之日起的6个月内，中标方须与采购方保持密切沟通，随时跟进项目后续的服务需求，提供相关技术支持，配合做好相关汇报工作。</w:t>
            </w:r>
          </w:p>
        </w:tc>
      </w:tr>
      <w:tr w14:paraId="0987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14:paraId="68BCD575">
            <w:pPr>
              <w:jc w:val="center"/>
              <w:rPr>
                <w:rFonts w:ascii="方正仿宋_GBK" w:hAnsi="方正仿宋_GBK" w:eastAsia="方正仿宋_GBK" w:cs="仿宋"/>
                <w:color w:val="000000"/>
                <w:kern w:val="0"/>
                <w:szCs w:val="21"/>
              </w:rPr>
            </w:pPr>
            <w:r>
              <w:rPr>
                <w:rFonts w:hint="eastAsia" w:ascii="方正仿宋_GBK" w:hAnsi="方正仿宋_GBK" w:eastAsia="方正仿宋_GBK" w:cs="仿宋"/>
                <w:color w:val="000000"/>
                <w:kern w:val="0"/>
                <w:szCs w:val="21"/>
              </w:rPr>
              <w:t>其他要求</w:t>
            </w:r>
          </w:p>
        </w:tc>
        <w:tc>
          <w:tcPr>
            <w:tcW w:w="7407" w:type="dxa"/>
            <w:gridSpan w:val="4"/>
          </w:tcPr>
          <w:p w14:paraId="2F55CC30">
            <w:pPr>
              <w:jc w:val="left"/>
              <w:rPr>
                <w:rFonts w:ascii="方正仿宋_GBK" w:hAnsi="方正仿宋_GBK" w:eastAsia="方正仿宋_GBK" w:cs="仿宋"/>
                <w:color w:val="000000"/>
                <w:kern w:val="0"/>
                <w:szCs w:val="21"/>
              </w:rPr>
            </w:pPr>
            <w:r>
              <w:rPr>
                <w:rFonts w:hint="eastAsia" w:ascii="方正仿宋_GBK" w:hAnsi="方正仿宋_GBK" w:eastAsia="方正仿宋_GBK" w:cs="仿宋"/>
                <w:b/>
                <w:color w:val="000000"/>
                <w:szCs w:val="21"/>
              </w:rPr>
              <w:t>特定供应商的名称、项目负责人及联系方式</w:t>
            </w:r>
          </w:p>
        </w:tc>
      </w:tr>
      <w:tr w14:paraId="2829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14:paraId="1C7FB411">
            <w:pPr>
              <w:jc w:val="left"/>
              <w:rPr>
                <w:rFonts w:ascii="方正仿宋_GBK" w:hAnsi="方正仿宋_GBK" w:eastAsia="方正仿宋_GBK" w:cs="仿宋"/>
                <w:color w:val="000000"/>
                <w:kern w:val="0"/>
                <w:szCs w:val="21"/>
              </w:rPr>
            </w:pPr>
          </w:p>
        </w:tc>
        <w:tc>
          <w:tcPr>
            <w:tcW w:w="850" w:type="dxa"/>
            <w:vMerge w:val="restart"/>
          </w:tcPr>
          <w:p w14:paraId="6A2BC43E">
            <w:pPr>
              <w:jc w:val="left"/>
              <w:rPr>
                <w:rFonts w:ascii="方正仿宋_GBK" w:hAnsi="方正仿宋_GBK" w:eastAsia="方正仿宋_GBK" w:cs="仿宋"/>
                <w:bCs/>
                <w:color w:val="000000"/>
                <w:kern w:val="0"/>
                <w:szCs w:val="21"/>
              </w:rPr>
            </w:pPr>
            <w:r>
              <w:rPr>
                <w:rFonts w:hint="eastAsia" w:ascii="方正仿宋_GBK" w:hAnsi="方正仿宋_GBK" w:eastAsia="方正仿宋_GBK" w:cs="仿宋"/>
                <w:bCs/>
                <w:color w:val="000000"/>
                <w:szCs w:val="21"/>
              </w:rPr>
              <w:t>特定供应商</w:t>
            </w:r>
          </w:p>
        </w:tc>
        <w:tc>
          <w:tcPr>
            <w:tcW w:w="6557" w:type="dxa"/>
            <w:gridSpan w:val="3"/>
          </w:tcPr>
          <w:p w14:paraId="2C147716">
            <w:pPr>
              <w:jc w:val="left"/>
              <w:rPr>
                <w:rFonts w:ascii="方正仿宋_GBK" w:hAnsi="方正仿宋_GBK" w:eastAsia="方正仿宋_GBK" w:cs="仿宋"/>
                <w:bCs/>
                <w:color w:val="000000"/>
                <w:kern w:val="0"/>
                <w:szCs w:val="21"/>
              </w:rPr>
            </w:pPr>
            <w:r>
              <w:rPr>
                <w:rFonts w:hint="eastAsia" w:ascii="方正仿宋_GBK" w:hAnsi="方正仿宋_GBK" w:eastAsia="方正仿宋_GBK" w:cs="仿宋"/>
                <w:bCs/>
                <w:color w:val="000000"/>
                <w:szCs w:val="21"/>
              </w:rPr>
              <w:t>单位名称：深圳世纪华胜科技有限公司</w:t>
            </w:r>
          </w:p>
        </w:tc>
      </w:tr>
      <w:tr w14:paraId="3D1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14:paraId="52332E11">
            <w:pPr>
              <w:jc w:val="left"/>
              <w:rPr>
                <w:rFonts w:ascii="方正仿宋_GBK" w:hAnsi="方正仿宋_GBK" w:eastAsia="方正仿宋_GBK" w:cs="仿宋"/>
                <w:color w:val="000000"/>
                <w:kern w:val="0"/>
                <w:szCs w:val="21"/>
              </w:rPr>
            </w:pPr>
          </w:p>
        </w:tc>
        <w:tc>
          <w:tcPr>
            <w:tcW w:w="850" w:type="dxa"/>
            <w:vMerge w:val="continue"/>
          </w:tcPr>
          <w:p w14:paraId="107B108E">
            <w:pPr>
              <w:jc w:val="left"/>
              <w:rPr>
                <w:rFonts w:ascii="方正仿宋_GBK" w:hAnsi="方正仿宋_GBK" w:eastAsia="方正仿宋_GBK" w:cs="仿宋"/>
                <w:bCs/>
                <w:color w:val="000000"/>
                <w:kern w:val="0"/>
                <w:szCs w:val="21"/>
              </w:rPr>
            </w:pPr>
          </w:p>
        </w:tc>
        <w:tc>
          <w:tcPr>
            <w:tcW w:w="6557" w:type="dxa"/>
            <w:gridSpan w:val="3"/>
          </w:tcPr>
          <w:p w14:paraId="5C36CAE9">
            <w:pPr>
              <w:jc w:val="left"/>
              <w:rPr>
                <w:rFonts w:ascii="方正仿宋_GBK" w:hAnsi="方正仿宋_GBK" w:eastAsia="方正仿宋_GBK" w:cs="仿宋"/>
                <w:bCs/>
                <w:color w:val="000000"/>
                <w:kern w:val="0"/>
                <w:szCs w:val="21"/>
              </w:rPr>
            </w:pPr>
            <w:r>
              <w:rPr>
                <w:rFonts w:hint="eastAsia" w:ascii="方正仿宋_GBK" w:hAnsi="方正仿宋_GBK" w:eastAsia="方正仿宋_GBK" w:cs="仿宋"/>
                <w:bCs/>
                <w:color w:val="000000"/>
                <w:szCs w:val="21"/>
              </w:rPr>
              <w:t>项目负责人：丁俊堂</w:t>
            </w:r>
          </w:p>
        </w:tc>
      </w:tr>
      <w:tr w14:paraId="7D49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14:paraId="2527F8A8">
            <w:pPr>
              <w:jc w:val="left"/>
              <w:rPr>
                <w:rFonts w:ascii="方正仿宋_GBK" w:hAnsi="方正仿宋_GBK" w:eastAsia="方正仿宋_GBK" w:cs="仿宋"/>
                <w:color w:val="000000"/>
                <w:kern w:val="0"/>
                <w:szCs w:val="21"/>
              </w:rPr>
            </w:pPr>
          </w:p>
        </w:tc>
        <w:tc>
          <w:tcPr>
            <w:tcW w:w="850" w:type="dxa"/>
            <w:vMerge w:val="continue"/>
          </w:tcPr>
          <w:p w14:paraId="097B1283">
            <w:pPr>
              <w:jc w:val="left"/>
              <w:rPr>
                <w:rFonts w:ascii="方正仿宋_GBK" w:hAnsi="方正仿宋_GBK" w:eastAsia="方正仿宋_GBK" w:cs="仿宋"/>
                <w:bCs/>
                <w:color w:val="000000"/>
                <w:kern w:val="0"/>
                <w:szCs w:val="21"/>
              </w:rPr>
            </w:pPr>
          </w:p>
        </w:tc>
        <w:tc>
          <w:tcPr>
            <w:tcW w:w="6557" w:type="dxa"/>
            <w:gridSpan w:val="3"/>
          </w:tcPr>
          <w:p w14:paraId="5181D806">
            <w:pPr>
              <w:pStyle w:val="5"/>
              <w:spacing w:before="78" w:beforeLines="25" w:after="78" w:afterLines="25"/>
              <w:ind w:firstLine="0"/>
              <w:rPr>
                <w:rFonts w:hint="default" w:ascii="方正仿宋_GBK" w:hAnsi="方正仿宋_GBK" w:eastAsia="方正仿宋_GBK" w:cs="仿宋"/>
                <w:bCs/>
                <w:color w:val="000000"/>
                <w:kern w:val="0"/>
                <w:szCs w:val="21"/>
                <w:lang w:val="en-US" w:eastAsia="zh-CN"/>
              </w:rPr>
            </w:pPr>
            <w:r>
              <w:rPr>
                <w:rFonts w:hint="eastAsia" w:ascii="方正仿宋_GBK" w:hAnsi="方正仿宋_GBK" w:eastAsia="方正仿宋_GBK" w:cs="仿宋"/>
                <w:bCs/>
                <w:color w:val="000000"/>
                <w:szCs w:val="21"/>
              </w:rPr>
              <w:t>联系电话：</w:t>
            </w:r>
            <w:r>
              <w:rPr>
                <w:rFonts w:hint="eastAsia" w:ascii="方正仿宋_GBK" w:hAnsi="方正仿宋_GBK" w:eastAsia="方正仿宋_GBK" w:cs="仿宋"/>
                <w:bCs/>
                <w:color w:val="000000"/>
                <w:szCs w:val="21"/>
                <w:lang w:val="en-US" w:eastAsia="zh-CN"/>
              </w:rPr>
              <w:t>0755-88820932</w:t>
            </w:r>
            <w:bookmarkStart w:id="1" w:name="_GoBack"/>
            <w:bookmarkEnd w:id="1"/>
          </w:p>
        </w:tc>
      </w:tr>
      <w:tr w14:paraId="7FAF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right w:val="single" w:color="auto" w:sz="4" w:space="0"/>
            </w:tcBorders>
          </w:tcPr>
          <w:p w14:paraId="7B505C7F">
            <w:pPr>
              <w:jc w:val="center"/>
              <w:rPr>
                <w:rFonts w:ascii="方正仿宋_GBK" w:hAnsi="方正仿宋_GBK" w:eastAsia="方正仿宋_GBK" w:cs="仿宋"/>
                <w:color w:val="000000"/>
              </w:rPr>
            </w:pPr>
            <w:r>
              <w:rPr>
                <w:rFonts w:hint="eastAsia" w:ascii="方正仿宋_GBK" w:hAnsi="方正仿宋_GBK" w:eastAsia="方正仿宋_GBK" w:cs="仿宋"/>
                <w:color w:val="000000"/>
              </w:rPr>
              <w:t>评标信息</w:t>
            </w:r>
          </w:p>
        </w:tc>
        <w:tc>
          <w:tcPr>
            <w:tcW w:w="7407" w:type="dxa"/>
            <w:gridSpan w:val="4"/>
            <w:tcBorders>
              <w:top w:val="single" w:color="auto" w:sz="4" w:space="0"/>
              <w:left w:val="single" w:color="auto" w:sz="4" w:space="0"/>
              <w:bottom w:val="single" w:color="auto" w:sz="4" w:space="0"/>
              <w:right w:val="single" w:color="auto" w:sz="4" w:space="0"/>
            </w:tcBorders>
          </w:tcPr>
          <w:p w14:paraId="54F96BF2">
            <w:pPr>
              <w:spacing w:after="156" w:afterLines="50"/>
              <w:ind w:firstLine="33" w:firstLineChars="16"/>
              <w:jc w:val="left"/>
              <w:rPr>
                <w:rFonts w:ascii="方正仿宋_GBK" w:hAnsi="方正仿宋_GBK" w:eastAsia="方正仿宋_GBK" w:cs="仿宋"/>
                <w:color w:val="000000"/>
                <w:szCs w:val="21"/>
              </w:rPr>
            </w:pPr>
            <w:r>
              <w:rPr>
                <w:rFonts w:hint="eastAsia" w:ascii="方正仿宋_GBK" w:hAnsi="方正仿宋_GBK" w:eastAsia="方正仿宋_GBK" w:cs="仿宋"/>
                <w:color w:val="000000"/>
                <w:szCs w:val="21"/>
              </w:rPr>
              <w:t>无。</w:t>
            </w:r>
          </w:p>
        </w:tc>
      </w:tr>
    </w:tbl>
    <w:p w14:paraId="79B2AC4C">
      <w:pPr>
        <w:spacing w:line="360" w:lineRule="exact"/>
        <w:jc w:val="left"/>
        <w:rPr>
          <w:rFonts w:ascii="方正仿宋_GBK" w:hAnsi="方正仿宋_GBK" w:eastAsia="方正仿宋_GBK"/>
          <w:bCs/>
          <w:color w:val="000000"/>
          <w:szCs w:val="21"/>
        </w:rPr>
      </w:pPr>
      <w:r>
        <w:rPr>
          <w:rFonts w:hint="eastAsia" w:ascii="方正仿宋_GBK" w:hAnsi="方正仿宋_GBK" w:eastAsia="方正仿宋_GBK"/>
          <w:bCs/>
          <w:color w:val="000000"/>
          <w:szCs w:val="21"/>
        </w:rPr>
        <w:t>注：1、带“*”号的为必填表内容，其他内容可根据项目作适当增减。</w:t>
      </w:r>
    </w:p>
    <w:p w14:paraId="5688CCA1">
      <w:pPr>
        <w:spacing w:line="360" w:lineRule="exact"/>
        <w:ind w:firstLine="420" w:firstLineChars="200"/>
        <w:jc w:val="left"/>
        <w:rPr>
          <w:rFonts w:ascii="方正仿宋_GBK" w:hAnsi="方正仿宋_GBK" w:eastAsia="方正仿宋_GBK"/>
          <w:bCs/>
          <w:color w:val="000000"/>
          <w:szCs w:val="21"/>
        </w:rPr>
      </w:pPr>
      <w:r>
        <w:rPr>
          <w:rFonts w:hint="eastAsia" w:ascii="方正仿宋_GBK" w:hAnsi="方正仿宋_GBK" w:eastAsia="方正仿宋_GBK"/>
          <w:bCs/>
          <w:color w:val="000000"/>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591F216A">
      <w:pPr>
        <w:spacing w:line="360" w:lineRule="exact"/>
        <w:rPr>
          <w:rFonts w:ascii="方正仿宋_GBK" w:hAnsi="方正仿宋_GBK" w:eastAsia="方正仿宋_GBK"/>
          <w:bCs/>
          <w:color w:val="000000"/>
          <w:szCs w:val="21"/>
        </w:rPr>
      </w:pPr>
      <w:r>
        <w:rPr>
          <w:rFonts w:hint="eastAsia" w:ascii="方正仿宋_GBK" w:hAnsi="方正仿宋_GBK" w:eastAsia="方正仿宋_GBK"/>
          <w:bCs/>
          <w:color w:val="000000"/>
          <w:szCs w:val="21"/>
        </w:rPr>
        <w:t>3、采购单位以上填报的商务条款、技术条款若存在倾向性或不公正性条款，由此引起的不良后果将由采购单位自行承担。</w:t>
      </w:r>
    </w:p>
    <w:p w14:paraId="1A51D30D">
      <w:pPr>
        <w:rPr>
          <w:rFonts w:ascii="方正仿宋_GBK" w:hAnsi="方正仿宋_GBK" w:eastAsia="方正仿宋_GBK"/>
          <w:color w:val="00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DengXian">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B0604020202020204"/>
    <w:charset w:val="86"/>
    <w:family w:val="modern"/>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xZjhlMjhhMmQ5NzcwYmUyZjlmZDAyYzgxMjc3OTEifQ=="/>
  </w:docVars>
  <w:rsids>
    <w:rsidRoot w:val="FFD76D0C"/>
    <w:rsid w:val="00027070"/>
    <w:rsid w:val="00027F65"/>
    <w:rsid w:val="00034708"/>
    <w:rsid w:val="00063E32"/>
    <w:rsid w:val="00086A7F"/>
    <w:rsid w:val="000D02E0"/>
    <w:rsid w:val="000E35BB"/>
    <w:rsid w:val="000F2518"/>
    <w:rsid w:val="000F2E14"/>
    <w:rsid w:val="00111173"/>
    <w:rsid w:val="001747A5"/>
    <w:rsid w:val="001C3819"/>
    <w:rsid w:val="001C5422"/>
    <w:rsid w:val="001D1684"/>
    <w:rsid w:val="001D4F28"/>
    <w:rsid w:val="001D5A42"/>
    <w:rsid w:val="00242A9C"/>
    <w:rsid w:val="00276200"/>
    <w:rsid w:val="002C422C"/>
    <w:rsid w:val="002F0360"/>
    <w:rsid w:val="002F5D43"/>
    <w:rsid w:val="00336C31"/>
    <w:rsid w:val="003B75B9"/>
    <w:rsid w:val="003D196B"/>
    <w:rsid w:val="0040077D"/>
    <w:rsid w:val="00411DB9"/>
    <w:rsid w:val="0046278E"/>
    <w:rsid w:val="004657F9"/>
    <w:rsid w:val="00480EE8"/>
    <w:rsid w:val="0049478F"/>
    <w:rsid w:val="004F0F85"/>
    <w:rsid w:val="005108EE"/>
    <w:rsid w:val="00516AFD"/>
    <w:rsid w:val="0055266D"/>
    <w:rsid w:val="0056220E"/>
    <w:rsid w:val="005D3703"/>
    <w:rsid w:val="00606082"/>
    <w:rsid w:val="006254D7"/>
    <w:rsid w:val="006A5D57"/>
    <w:rsid w:val="006F1366"/>
    <w:rsid w:val="007177E8"/>
    <w:rsid w:val="007420AF"/>
    <w:rsid w:val="007938C2"/>
    <w:rsid w:val="00795709"/>
    <w:rsid w:val="007A264F"/>
    <w:rsid w:val="007A59E6"/>
    <w:rsid w:val="007D27C0"/>
    <w:rsid w:val="007E0A37"/>
    <w:rsid w:val="008040D8"/>
    <w:rsid w:val="008733A2"/>
    <w:rsid w:val="00944466"/>
    <w:rsid w:val="00952A8A"/>
    <w:rsid w:val="00971B21"/>
    <w:rsid w:val="009803AF"/>
    <w:rsid w:val="00987D54"/>
    <w:rsid w:val="00990929"/>
    <w:rsid w:val="009B0FDB"/>
    <w:rsid w:val="009F08C1"/>
    <w:rsid w:val="00A0698C"/>
    <w:rsid w:val="00A41E09"/>
    <w:rsid w:val="00AF1947"/>
    <w:rsid w:val="00AF6939"/>
    <w:rsid w:val="00B71F9B"/>
    <w:rsid w:val="00BE2A02"/>
    <w:rsid w:val="00BF347D"/>
    <w:rsid w:val="00C33C46"/>
    <w:rsid w:val="00C82B7F"/>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A7B5D"/>
    <w:rsid w:val="00FC2F13"/>
    <w:rsid w:val="00FD58C5"/>
    <w:rsid w:val="00FE5E94"/>
    <w:rsid w:val="02B626AB"/>
    <w:rsid w:val="035715A3"/>
    <w:rsid w:val="06AC30AF"/>
    <w:rsid w:val="070B661E"/>
    <w:rsid w:val="140B7FF3"/>
    <w:rsid w:val="14237ED8"/>
    <w:rsid w:val="14445CCF"/>
    <w:rsid w:val="162670CD"/>
    <w:rsid w:val="175F50B6"/>
    <w:rsid w:val="1800599F"/>
    <w:rsid w:val="180A3EF0"/>
    <w:rsid w:val="1AB95652"/>
    <w:rsid w:val="1C7E4D45"/>
    <w:rsid w:val="1E68704C"/>
    <w:rsid w:val="1F641B0F"/>
    <w:rsid w:val="1FDD8397"/>
    <w:rsid w:val="25704025"/>
    <w:rsid w:val="27A21C1E"/>
    <w:rsid w:val="289D3530"/>
    <w:rsid w:val="29246737"/>
    <w:rsid w:val="2B3F3B04"/>
    <w:rsid w:val="31B13859"/>
    <w:rsid w:val="31E63BA8"/>
    <w:rsid w:val="36365F64"/>
    <w:rsid w:val="37D1ADBB"/>
    <w:rsid w:val="37FFECEA"/>
    <w:rsid w:val="38425367"/>
    <w:rsid w:val="3BF84DE7"/>
    <w:rsid w:val="3EFA724C"/>
    <w:rsid w:val="3F5DF255"/>
    <w:rsid w:val="3F743CC4"/>
    <w:rsid w:val="406F5B46"/>
    <w:rsid w:val="419D4D53"/>
    <w:rsid w:val="42090F0C"/>
    <w:rsid w:val="449735DE"/>
    <w:rsid w:val="47266DCB"/>
    <w:rsid w:val="47CF312A"/>
    <w:rsid w:val="48233465"/>
    <w:rsid w:val="48DD45D9"/>
    <w:rsid w:val="49C97A9C"/>
    <w:rsid w:val="4CF352AC"/>
    <w:rsid w:val="4DCC030B"/>
    <w:rsid w:val="519E7677"/>
    <w:rsid w:val="54AE1D96"/>
    <w:rsid w:val="553755F6"/>
    <w:rsid w:val="55B15923"/>
    <w:rsid w:val="569A63F6"/>
    <w:rsid w:val="57FB3B64"/>
    <w:rsid w:val="59855157"/>
    <w:rsid w:val="5D6E1A8B"/>
    <w:rsid w:val="5F8010E3"/>
    <w:rsid w:val="5FE926EA"/>
    <w:rsid w:val="64AE5E3B"/>
    <w:rsid w:val="67363FF7"/>
    <w:rsid w:val="6E54327C"/>
    <w:rsid w:val="6EF694FE"/>
    <w:rsid w:val="6F3592EA"/>
    <w:rsid w:val="72FA4DA6"/>
    <w:rsid w:val="743BBE01"/>
    <w:rsid w:val="74E7F739"/>
    <w:rsid w:val="75625322"/>
    <w:rsid w:val="76DD495A"/>
    <w:rsid w:val="77251B6B"/>
    <w:rsid w:val="77FA9395"/>
    <w:rsid w:val="7A361B91"/>
    <w:rsid w:val="7B5F95A0"/>
    <w:rsid w:val="7D7F5B74"/>
    <w:rsid w:val="7D8DA692"/>
    <w:rsid w:val="7DFC9289"/>
    <w:rsid w:val="7DFFBAC9"/>
    <w:rsid w:val="7EC26E55"/>
    <w:rsid w:val="7EEA0760"/>
    <w:rsid w:val="7FDFECDC"/>
    <w:rsid w:val="7FFF1F97"/>
    <w:rsid w:val="B7FE5796"/>
    <w:rsid w:val="BFBF589F"/>
    <w:rsid w:val="BFFD2304"/>
    <w:rsid w:val="CAD32D80"/>
    <w:rsid w:val="DEEBE25C"/>
    <w:rsid w:val="E57D0AFD"/>
    <w:rsid w:val="EB3B892A"/>
    <w:rsid w:val="ED5FCACE"/>
    <w:rsid w:val="EFDB7936"/>
    <w:rsid w:val="F3A58CE4"/>
    <w:rsid w:val="F3BFF85B"/>
    <w:rsid w:val="F6FF62F6"/>
    <w:rsid w:val="F7F9D602"/>
    <w:rsid w:val="FD76F64B"/>
    <w:rsid w:val="FDEB120D"/>
    <w:rsid w:val="FF3F1120"/>
    <w:rsid w:val="FF756E39"/>
    <w:rsid w:val="FF9FB609"/>
    <w:rsid w:val="FFD76D0C"/>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5">
    <w:name w:val="Normal Indent"/>
    <w:basedOn w:val="1"/>
    <w:qFormat/>
    <w:uiPriority w:val="0"/>
    <w:pPr>
      <w:ind w:firstLine="420"/>
    </w:pPr>
    <w:rPr>
      <w:szCs w:val="20"/>
    </w:rPr>
  </w:style>
  <w:style w:type="paragraph" w:styleId="6">
    <w:name w:val="annotation text"/>
    <w:basedOn w:val="1"/>
    <w:qFormat/>
    <w:uiPriority w:val="0"/>
    <w:pPr>
      <w:spacing w:after="160" w:line="259" w:lineRule="auto"/>
    </w:pPr>
    <w:rPr>
      <w:rFonts w:ascii="DengXian" w:hAnsi="DengXian" w:eastAsia="DengXian"/>
      <w:kern w:val="0"/>
      <w:sz w:val="22"/>
    </w:rPr>
  </w:style>
  <w:style w:type="paragraph" w:styleId="7">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link w:val="22"/>
    <w:qFormat/>
    <w:uiPriority w:val="34"/>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列表段落 字符"/>
    <w:link w:val="19"/>
    <w:qFormat/>
    <w:uiPriority w:val="34"/>
    <w:rPr>
      <w:rFonts w:eastAsia="Times New Roman"/>
      <w:kern w:val="2"/>
      <w:sz w:val="21"/>
      <w:szCs w:val="22"/>
    </w:rPr>
  </w:style>
  <w:style w:type="paragraph" w:customStyle="1" w:styleId="23">
    <w:name w:val="List Paragraph1"/>
    <w:basedOn w:val="1"/>
    <w:qFormat/>
    <w:uiPriority w:val="34"/>
    <w:pPr>
      <w:widowControl/>
      <w:spacing w:line="360" w:lineRule="auto"/>
      <w:ind w:firstLine="420" w:firstLineChars="200"/>
    </w:pPr>
    <w:rPr>
      <w:rFonts w:ascii="宋体" w:hAnsi="宋体" w:eastAsia="仿宋"/>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394</Words>
  <Characters>2248</Characters>
  <Lines>18</Lines>
  <Paragraphs>5</Paragraphs>
  <TotalTime>7</TotalTime>
  <ScaleCrop>false</ScaleCrop>
  <LinksUpToDate>false</LinksUpToDate>
  <CharactersWithSpaces>2637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2024-12-04T05:43:00Z</dcterms:created>
  <dc:creator>qiling</dc:creator>
  <cp:lastModifiedBy>huawei</cp:lastModifiedBy>
  <dcterms:modified xsi:type="dcterms:W3CDTF">2025-04-30T10:04:02Z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3EC01D73B3E24E4AABE53C9C24A18832_13</vt:lpwstr>
  </property>
</Properties>
</file>