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黑体" w:hAnsi="宋体" w:eastAsia="黑体"/>
          <w:sz w:val="32"/>
          <w:szCs w:val="32"/>
        </w:rPr>
      </w:pPr>
      <w:r>
        <w:rPr>
          <w:rFonts w:hint="eastAsia" w:ascii="黑体" w:hAnsi="宋体" w:eastAsia="黑体"/>
          <w:sz w:val="32"/>
          <w:szCs w:val="32"/>
        </w:rPr>
        <w:t>服务类采购需求文件</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75"/>
        <w:gridCol w:w="3251"/>
        <w:gridCol w:w="1579"/>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08" w:type="dxa"/>
            <w:gridSpan w:val="2"/>
            <w:noWrap w:val="0"/>
            <w:vAlign w:val="top"/>
          </w:tcPr>
          <w:p>
            <w:pPr>
              <w:rPr>
                <w:rFonts w:hint="eastAsia"/>
              </w:rPr>
            </w:pPr>
            <w:r>
              <w:rPr>
                <w:rFonts w:hint="eastAsia"/>
              </w:rPr>
              <w:t>项目名称</w:t>
            </w:r>
          </w:p>
        </w:tc>
        <w:tc>
          <w:tcPr>
            <w:tcW w:w="3251" w:type="dxa"/>
            <w:noWrap w:val="0"/>
            <w:vAlign w:val="top"/>
          </w:tcPr>
          <w:p>
            <w:pPr>
              <w:rPr>
                <w:rFonts w:hint="eastAsia" w:ascii="仿宋_GB2312" w:eastAsia="仿宋_GB2312"/>
                <w:szCs w:val="21"/>
              </w:rPr>
            </w:pPr>
            <w:r>
              <w:rPr>
                <w:rFonts w:hint="eastAsia" w:ascii="仿宋_GB2312" w:eastAsia="仿宋_GB2312"/>
                <w:szCs w:val="21"/>
              </w:rPr>
              <w:t>光明区202</w:t>
            </w:r>
            <w:r>
              <w:rPr>
                <w:rFonts w:hint="eastAsia" w:ascii="仿宋_GB2312" w:eastAsia="仿宋_GB2312"/>
                <w:szCs w:val="21"/>
                <w:lang w:val="en-US" w:eastAsia="zh-CN"/>
              </w:rPr>
              <w:t>5</w:t>
            </w:r>
            <w:r>
              <w:rPr>
                <w:rFonts w:hint="eastAsia" w:ascii="仿宋_GB2312" w:eastAsia="仿宋_GB2312"/>
                <w:szCs w:val="21"/>
              </w:rPr>
              <w:t>年度房产测绘成果审核与不动产权籍调查</w:t>
            </w:r>
          </w:p>
        </w:tc>
        <w:tc>
          <w:tcPr>
            <w:tcW w:w="1579" w:type="dxa"/>
            <w:noWrap w:val="0"/>
            <w:vAlign w:val="top"/>
          </w:tcPr>
          <w:p>
            <w:pPr>
              <w:rPr>
                <w:rFonts w:hint="eastAsia"/>
              </w:rPr>
            </w:pPr>
            <w:r>
              <w:t>采购类型</w:t>
            </w:r>
          </w:p>
        </w:tc>
        <w:tc>
          <w:tcPr>
            <w:tcW w:w="2860" w:type="dxa"/>
            <w:noWrap w:val="0"/>
            <w:vAlign w:val="top"/>
          </w:tcPr>
          <w:p>
            <w:pPr>
              <w:rPr>
                <w:rFonts w:hint="eastAsia" w:ascii="仿宋_GB2312" w:eastAsia="仿宋_GB2312"/>
                <w:szCs w:val="21"/>
              </w:rPr>
            </w:pPr>
            <w:r>
              <w:rPr>
                <w:rFonts w:hint="eastAsia" w:ascii="仿宋_GB2312" w:eastAsia="仿宋_GB2312"/>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8" w:type="dxa"/>
            <w:gridSpan w:val="2"/>
            <w:noWrap w:val="0"/>
            <w:vAlign w:val="top"/>
          </w:tcPr>
          <w:p>
            <w:pPr>
              <w:rPr>
                <w:rFonts w:hint="eastAsia"/>
              </w:rPr>
            </w:pPr>
            <w:r>
              <w:rPr>
                <w:rFonts w:hint="eastAsia"/>
              </w:rPr>
              <w:t>采购人名称</w:t>
            </w:r>
          </w:p>
        </w:tc>
        <w:tc>
          <w:tcPr>
            <w:tcW w:w="3251" w:type="dxa"/>
            <w:noWrap w:val="0"/>
            <w:vAlign w:val="top"/>
          </w:tcPr>
          <w:p>
            <w:pPr>
              <w:rPr>
                <w:rFonts w:hint="eastAsia" w:ascii="仿宋_GB2312" w:eastAsia="仿宋_GB2312"/>
                <w:szCs w:val="21"/>
              </w:rPr>
            </w:pPr>
            <w:r>
              <w:rPr>
                <w:rFonts w:hint="eastAsia" w:ascii="仿宋_GB2312" w:eastAsia="仿宋_GB2312"/>
                <w:szCs w:val="21"/>
              </w:rPr>
              <w:t>深圳市规划和自然资源局光明管理局</w:t>
            </w:r>
          </w:p>
        </w:tc>
        <w:tc>
          <w:tcPr>
            <w:tcW w:w="1579" w:type="dxa"/>
            <w:noWrap w:val="0"/>
            <w:vAlign w:val="top"/>
          </w:tcPr>
          <w:p>
            <w:pPr>
              <w:rPr>
                <w:rFonts w:hint="eastAsia"/>
              </w:rPr>
            </w:pPr>
            <w:r>
              <w:t>采购方式</w:t>
            </w:r>
          </w:p>
        </w:tc>
        <w:tc>
          <w:tcPr>
            <w:tcW w:w="2860" w:type="dxa"/>
            <w:noWrap w:val="0"/>
            <w:vAlign w:val="top"/>
          </w:tcPr>
          <w:p>
            <w:pPr>
              <w:rPr>
                <w:rFonts w:hint="eastAsia" w:ascii="仿宋_GB2312" w:eastAsia="仿宋_GB2312"/>
                <w:szCs w:val="21"/>
              </w:rPr>
            </w:pPr>
            <w:r>
              <w:rPr>
                <w:rFonts w:hint="eastAsia" w:ascii="仿宋_GB2312" w:eastAsia="仿宋_GB2312"/>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gridSpan w:val="2"/>
            <w:noWrap w:val="0"/>
            <w:vAlign w:val="top"/>
          </w:tcPr>
          <w:p>
            <w:pPr>
              <w:rPr>
                <w:rFonts w:hint="eastAsia"/>
              </w:rPr>
            </w:pPr>
            <w:r>
              <w:rPr>
                <w:rFonts w:hint="eastAsia"/>
              </w:rPr>
              <w:t>财政预算限额（元）</w:t>
            </w:r>
          </w:p>
        </w:tc>
        <w:tc>
          <w:tcPr>
            <w:tcW w:w="3251" w:type="dxa"/>
            <w:noWrap w:val="0"/>
            <w:vAlign w:val="top"/>
          </w:tcPr>
          <w:p>
            <w:pPr>
              <w:rPr>
                <w:rFonts w:hint="eastAsia"/>
              </w:rPr>
            </w:pPr>
            <w:r>
              <w:rPr>
                <w:rFonts w:hint="eastAsia" w:ascii="仿宋_GB2312" w:eastAsia="仿宋_GB2312"/>
                <w:szCs w:val="21"/>
                <w:lang w:val="en-US" w:eastAsia="zh-CN"/>
              </w:rPr>
              <w:t>50</w:t>
            </w:r>
            <w:r>
              <w:rPr>
                <w:rFonts w:hint="eastAsia" w:ascii="仿宋_GB2312" w:eastAsia="仿宋_GB2312"/>
                <w:szCs w:val="21"/>
              </w:rPr>
              <w:t>万</w:t>
            </w:r>
          </w:p>
        </w:tc>
        <w:tc>
          <w:tcPr>
            <w:tcW w:w="1579" w:type="dxa"/>
            <w:noWrap w:val="0"/>
            <w:vAlign w:val="top"/>
          </w:tcPr>
          <w:p>
            <w:pPr>
              <w:rPr>
                <w:rFonts w:hint="eastAsia"/>
              </w:rPr>
            </w:pPr>
          </w:p>
        </w:tc>
        <w:tc>
          <w:tcPr>
            <w:tcW w:w="286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08" w:type="dxa"/>
            <w:gridSpan w:val="2"/>
            <w:noWrap w:val="0"/>
            <w:vAlign w:val="top"/>
          </w:tcPr>
          <w:p>
            <w:pPr>
              <w:rPr>
                <w:rFonts w:hint="eastAsia"/>
              </w:rPr>
            </w:pPr>
            <w:r>
              <w:rPr>
                <w:rFonts w:hint="eastAsia"/>
              </w:rPr>
              <w:t>项目背景</w:t>
            </w:r>
          </w:p>
        </w:tc>
        <w:tc>
          <w:tcPr>
            <w:tcW w:w="7690" w:type="dxa"/>
            <w:gridSpan w:val="3"/>
            <w:noWrap w:val="0"/>
            <w:vAlign w:val="top"/>
          </w:tcPr>
          <w:p>
            <w:pPr>
              <w:ind w:firstLine="420" w:firstLineChars="200"/>
              <w:rPr>
                <w:rFonts w:hint="eastAsia" w:ascii="仿宋_GB2312" w:eastAsia="仿宋_GB2312"/>
                <w:szCs w:val="21"/>
              </w:rPr>
            </w:pPr>
            <w:r>
              <w:rPr>
                <w:rFonts w:hint="eastAsia" w:ascii="仿宋_GB2312" w:eastAsia="仿宋_GB2312"/>
                <w:szCs w:val="21"/>
              </w:rPr>
              <w:t>建立和实施不动产登记制度是我国实施机构改革和政府职能转变的一项重大改革任务,党中央、国务院高度重视,全社会广泛关注。2015年3月，国务院颁布《不动产登记暂行条例》，实现了不动产登记法律依据的统一。同时，国土资源部印发《关于做好不动产权籍调查工作的通知》，要求各地逐步建立不动产权籍调查体系和工作机制，完善不动产登记制度。</w:t>
            </w:r>
          </w:p>
          <w:p>
            <w:pPr>
              <w:ind w:firstLine="420" w:firstLineChars="200"/>
              <w:rPr>
                <w:rFonts w:hint="eastAsia" w:ascii="仿宋_GB2312" w:eastAsia="仿宋_GB2312"/>
                <w:szCs w:val="21"/>
              </w:rPr>
            </w:pPr>
            <w:r>
              <w:rPr>
                <w:rFonts w:hint="eastAsia" w:ascii="仿宋_GB2312" w:eastAsia="仿宋_GB2312"/>
                <w:szCs w:val="21"/>
              </w:rPr>
              <w:t>2017年8月，国土资源部印发《关于规范不动产权籍调查有关工作的通知》，进一步强调权籍调查是不动产登记的前提和基础，各地应以服务和支撑不动产登记为根本出发点，依据有关政策文件要求，规范开展权籍调查，形成完整有效的调查成果，保障不动产登记的需要。广东省国土资源厅印发了《关于进一步加快推进不动产统一登记工作的通知》等系列文件，要求各市（区）积极构建不动产权籍调查工作体系，采取有效措施全力推进全省不动产统一登记工作。</w:t>
            </w:r>
          </w:p>
          <w:p>
            <w:pPr>
              <w:ind w:firstLine="420" w:firstLineChars="200"/>
              <w:rPr>
                <w:rFonts w:hint="eastAsia" w:ascii="仿宋_GB2312" w:eastAsia="仿宋_GB2312"/>
                <w:szCs w:val="21"/>
              </w:rPr>
            </w:pPr>
            <w:r>
              <w:rPr>
                <w:rFonts w:hint="eastAsia" w:ascii="仿宋_GB2312" w:eastAsia="仿宋_GB2312"/>
                <w:szCs w:val="21"/>
              </w:rPr>
              <w:t>2020年6月，为加强与房地产市场管理、不动产登记工作的衔接，市规划和自然资源局在全市启动房产测绘成果审核和不动产权籍调查工作，保障了不动产登记工作的顺利开展。</w:t>
            </w:r>
          </w:p>
          <w:p>
            <w:pPr>
              <w:ind w:firstLine="420" w:firstLineChars="200"/>
              <w:rPr>
                <w:rFonts w:hint="eastAsia" w:ascii="仿宋_GB2312" w:eastAsia="仿宋_GB2312"/>
                <w:szCs w:val="21"/>
              </w:rPr>
            </w:pPr>
            <w:r>
              <w:rPr>
                <w:rFonts w:hint="eastAsia" w:ascii="仿宋_GB2312" w:eastAsia="仿宋_GB2312"/>
                <w:szCs w:val="21"/>
              </w:rPr>
              <w:t>2021年5月，市规划和自然资源局印发《关于规范不动产权籍调查工作的通知》，明确各管理局负责组织实施辖区权籍调查工作。</w:t>
            </w:r>
          </w:p>
          <w:p>
            <w:pPr>
              <w:ind w:firstLine="420" w:firstLineChars="200"/>
              <w:rPr>
                <w:rFonts w:hint="eastAsia"/>
              </w:rPr>
            </w:pPr>
            <w:r>
              <w:rPr>
                <w:rFonts w:hint="eastAsia" w:ascii="仿宋_GB2312" w:eastAsia="仿宋_GB2312"/>
                <w:szCs w:val="21"/>
              </w:rPr>
              <w:t>房产测绘成果是不动产权籍调查成果的重要组成部分，在城市规划、地价测算、自然资源管理、不动产登记等领域被广泛使用，其成果质量直接关系着群众的切身利益。为保证房产测绘成果的准确性、有效性和严肃性，需对房产测绘成果进行统一审核，并以内嵌式开展权籍调查工作，整合形成规范、完整的权籍调查成果，确保我区不动产登记工作符合国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noWrap w:val="0"/>
            <w:vAlign w:val="center"/>
          </w:tcPr>
          <w:p>
            <w:pPr>
              <w:jc w:val="center"/>
              <w:rPr>
                <w:rFonts w:hint="eastAsia"/>
              </w:rPr>
            </w:pPr>
            <w:r>
              <w:rPr>
                <w:rFonts w:hint="eastAsia" w:ascii="宋体" w:hAnsi="宋体" w:cs="宋体"/>
                <w:kern w:val="0"/>
                <w:szCs w:val="21"/>
              </w:rPr>
              <w:t>中标人资质要求</w:t>
            </w:r>
          </w:p>
        </w:tc>
        <w:tc>
          <w:tcPr>
            <w:tcW w:w="9265" w:type="dxa"/>
            <w:gridSpan w:val="4"/>
            <w:noWrap w:val="0"/>
            <w:vAlign w:val="top"/>
          </w:tcPr>
          <w:p>
            <w:pPr>
              <w:ind w:firstLine="420" w:firstLineChars="200"/>
              <w:rPr>
                <w:rFonts w:hint="eastAsia" w:ascii="仿宋_GB2312" w:eastAsia="仿宋_GB2312"/>
                <w:szCs w:val="21"/>
              </w:rPr>
            </w:pPr>
            <w:r>
              <w:rPr>
                <w:rFonts w:hint="eastAsia" w:ascii="仿宋_GB2312" w:eastAsia="仿宋_GB2312"/>
                <w:szCs w:val="21"/>
              </w:rPr>
              <w:t>1.中标人须先行注册为深圳市政府采购中心的供应商（供应商注册网址：http://zfcg.sz.gov.cn</w:t>
            </w:r>
            <w:r>
              <w:rPr>
                <w:rFonts w:hint="eastAsia" w:ascii="仿宋_GB2312" w:eastAsia="仿宋_GB2312"/>
                <w:szCs w:val="21"/>
                <w:lang w:val="en-US" w:eastAsia="zh-CN"/>
              </w:rPr>
              <w:t>/</w:t>
            </w:r>
            <w:bookmarkStart w:id="0" w:name="_GoBack"/>
            <w:bookmarkEnd w:id="0"/>
            <w:r>
              <w:rPr>
                <w:rFonts w:hint="eastAsia" w:ascii="仿宋_GB2312" w:eastAsia="仿宋_GB2312"/>
                <w:szCs w:val="21"/>
              </w:rPr>
              <w:t>）,须提供深圳市政府采购供应商注册卡复印件（加盖公章）；</w:t>
            </w:r>
          </w:p>
          <w:p>
            <w:pPr>
              <w:ind w:firstLine="420" w:firstLineChars="200"/>
              <w:rPr>
                <w:rFonts w:hint="eastAsia" w:ascii="仿宋_GB2312" w:eastAsia="仿宋_GB2312"/>
                <w:szCs w:val="21"/>
              </w:rPr>
            </w:pPr>
            <w:r>
              <w:rPr>
                <w:rFonts w:hint="eastAsia" w:ascii="仿宋_GB2312" w:eastAsia="仿宋_GB2312"/>
                <w:szCs w:val="21"/>
              </w:rPr>
              <w:t>2.中标人必须是在中华人民共和国境内注册的具有独立法人资格的企事业单位或社会组织，须提供法人资格证书副本复印件(加盖公章)；</w:t>
            </w:r>
          </w:p>
          <w:p>
            <w:pPr>
              <w:ind w:firstLine="420" w:firstLineChars="200"/>
              <w:rPr>
                <w:rFonts w:hint="eastAsia" w:ascii="仿宋_GB2312" w:eastAsia="仿宋_GB2312"/>
                <w:szCs w:val="21"/>
              </w:rPr>
            </w:pPr>
            <w:r>
              <w:rPr>
                <w:rFonts w:hint="eastAsia" w:ascii="仿宋_GB2312" w:eastAsia="仿宋_GB2312"/>
                <w:szCs w:val="21"/>
              </w:rPr>
              <w:t>3.</w:t>
            </w:r>
            <w:r>
              <w:rPr>
                <w:rFonts w:ascii="仿宋_GB2312" w:eastAsia="仿宋_GB2312"/>
                <w:szCs w:val="21"/>
              </w:rPr>
              <w:t>具有测绘行政主管部门颁发的，且业务范围中包含地理信息系统工程乙级或乙级以上资质（须提供原件扫描件，原件备查）；</w:t>
            </w:r>
          </w:p>
          <w:p>
            <w:pPr>
              <w:ind w:firstLine="420" w:firstLineChars="200"/>
              <w:rPr>
                <w:rFonts w:hint="eastAsia" w:ascii="仿宋_GB2312" w:eastAsia="仿宋_GB2312"/>
                <w:szCs w:val="21"/>
              </w:rPr>
            </w:pPr>
            <w:r>
              <w:rPr>
                <w:rFonts w:hint="eastAsia" w:ascii="仿宋_GB2312" w:eastAsia="仿宋_GB2312"/>
                <w:szCs w:val="21"/>
              </w:rPr>
              <w:t>4.近三年内（即至少从202</w:t>
            </w:r>
            <w:r>
              <w:rPr>
                <w:rFonts w:hint="eastAsia" w:ascii="仿宋_GB2312" w:eastAsia="仿宋_GB2312"/>
                <w:szCs w:val="21"/>
                <w:lang w:val="en-US" w:eastAsia="zh-CN"/>
              </w:rPr>
              <w:t>2</w:t>
            </w:r>
            <w:r>
              <w:rPr>
                <w:rFonts w:hint="eastAsia" w:ascii="仿宋_GB2312" w:eastAsia="仿宋_GB2312"/>
                <w:szCs w:val="21"/>
              </w:rPr>
              <w:t>年1月开始起算，供应商成立不足三年的可从成立之日起算）无行贿犯罪记录（由深圳市政府采购中心定期向检察机关申请对政府采购供应商库中注册有效的供应商进行集中查询，投标文件中无需提供证明材料）；</w:t>
            </w:r>
          </w:p>
          <w:p>
            <w:pPr>
              <w:ind w:firstLine="420" w:firstLineChars="200"/>
              <w:rPr>
                <w:rFonts w:hint="eastAsia" w:ascii="仿宋_GB2312" w:eastAsia="仿宋_GB2312"/>
                <w:szCs w:val="21"/>
              </w:rPr>
            </w:pPr>
            <w:r>
              <w:rPr>
                <w:rFonts w:hint="eastAsia" w:ascii="仿宋_GB2312" w:eastAsia="仿宋_GB2312"/>
                <w:szCs w:val="21"/>
              </w:rPr>
              <w:t>5.本项目不接受联合体投标，不接受分包转包；</w:t>
            </w:r>
          </w:p>
          <w:p>
            <w:pPr>
              <w:ind w:firstLine="420" w:firstLineChars="200"/>
              <w:rPr>
                <w:rFonts w:hint="eastAsia" w:ascii="宋体" w:hAnsi="宋体" w:cs="宋体"/>
                <w:kern w:val="0"/>
                <w:szCs w:val="21"/>
              </w:rPr>
            </w:pPr>
            <w:r>
              <w:rPr>
                <w:rFonts w:hint="eastAsia" w:ascii="仿宋_GB2312" w:eastAsia="仿宋_GB2312"/>
                <w:szCs w:val="21"/>
              </w:rPr>
              <w:t>6.中标人须签署《政府采购投标及履约承诺函》及《政府采购违法行为风险知悉确认书》，否则做废标处理。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货物清单</w:t>
            </w:r>
          </w:p>
        </w:tc>
        <w:tc>
          <w:tcPr>
            <w:tcW w:w="9265" w:type="dxa"/>
            <w:gridSpan w:val="4"/>
            <w:noWrap w:val="0"/>
            <w:vAlign w:val="top"/>
          </w:tcPr>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550"/>
              <w:gridCol w:w="2209"/>
              <w:gridCol w:w="850"/>
              <w:gridCol w:w="709"/>
              <w:gridCol w:w="709"/>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jc w:val="center"/>
                    <w:rPr>
                      <w:rFonts w:hint="eastAsia" w:ascii="仿宋_GB2312" w:eastAsia="仿宋_GB2312"/>
                      <w:bCs/>
                      <w:szCs w:val="21"/>
                    </w:rPr>
                  </w:pPr>
                  <w:r>
                    <w:rPr>
                      <w:rFonts w:hint="eastAsia" w:ascii="仿宋_GB2312" w:eastAsia="仿宋_GB2312"/>
                      <w:bCs/>
                      <w:szCs w:val="21"/>
                    </w:rPr>
                    <w:t>序号</w:t>
                  </w:r>
                </w:p>
              </w:tc>
              <w:tc>
                <w:tcPr>
                  <w:tcW w:w="1550" w:type="dxa"/>
                  <w:noWrap w:val="0"/>
                  <w:vAlign w:val="top"/>
                </w:tcPr>
                <w:p>
                  <w:pPr>
                    <w:jc w:val="center"/>
                    <w:rPr>
                      <w:rFonts w:hint="eastAsia" w:ascii="仿宋_GB2312" w:eastAsia="仿宋_GB2312"/>
                      <w:bCs/>
                      <w:szCs w:val="21"/>
                    </w:rPr>
                  </w:pPr>
                  <w:r>
                    <w:rPr>
                      <w:rFonts w:hint="eastAsia" w:ascii="仿宋_GB2312" w:eastAsia="仿宋_GB2312"/>
                      <w:bCs/>
                      <w:szCs w:val="21"/>
                    </w:rPr>
                    <w:t>采购计划编号</w:t>
                  </w:r>
                </w:p>
              </w:tc>
              <w:tc>
                <w:tcPr>
                  <w:tcW w:w="2209" w:type="dxa"/>
                  <w:noWrap w:val="0"/>
                  <w:vAlign w:val="top"/>
                </w:tcPr>
                <w:p>
                  <w:pPr>
                    <w:jc w:val="center"/>
                    <w:rPr>
                      <w:rFonts w:hint="eastAsia" w:ascii="仿宋_GB2312" w:eastAsia="仿宋_GB2312"/>
                      <w:bCs/>
                      <w:szCs w:val="21"/>
                    </w:rPr>
                  </w:pPr>
                  <w:r>
                    <w:rPr>
                      <w:rFonts w:hint="eastAsia" w:ascii="仿宋_GB2312" w:eastAsia="仿宋_GB2312"/>
                      <w:bCs/>
                      <w:szCs w:val="21"/>
                    </w:rPr>
                    <w:t>需求内容</w:t>
                  </w:r>
                </w:p>
              </w:tc>
              <w:tc>
                <w:tcPr>
                  <w:tcW w:w="850" w:type="dxa"/>
                  <w:noWrap w:val="0"/>
                  <w:vAlign w:val="top"/>
                </w:tcPr>
                <w:p>
                  <w:pPr>
                    <w:jc w:val="center"/>
                    <w:rPr>
                      <w:rFonts w:hint="eastAsia" w:ascii="仿宋_GB2312" w:eastAsia="仿宋_GB2312"/>
                      <w:bCs/>
                      <w:szCs w:val="21"/>
                    </w:rPr>
                  </w:pPr>
                  <w:r>
                    <w:rPr>
                      <w:rFonts w:hint="eastAsia" w:ascii="仿宋_GB2312" w:eastAsia="仿宋_GB2312"/>
                      <w:bCs/>
                      <w:szCs w:val="21"/>
                    </w:rPr>
                    <w:t>数量</w:t>
                  </w:r>
                </w:p>
              </w:tc>
              <w:tc>
                <w:tcPr>
                  <w:tcW w:w="709" w:type="dxa"/>
                  <w:noWrap w:val="0"/>
                  <w:vAlign w:val="top"/>
                </w:tcPr>
                <w:p>
                  <w:pPr>
                    <w:jc w:val="center"/>
                    <w:rPr>
                      <w:rFonts w:hint="eastAsia" w:ascii="仿宋_GB2312" w:eastAsia="仿宋_GB2312"/>
                      <w:bCs/>
                      <w:szCs w:val="21"/>
                    </w:rPr>
                  </w:pPr>
                  <w:r>
                    <w:rPr>
                      <w:rFonts w:hint="eastAsia" w:ascii="仿宋_GB2312" w:eastAsia="仿宋_GB2312"/>
                      <w:bCs/>
                      <w:szCs w:val="21"/>
                    </w:rPr>
                    <w:t>单位</w:t>
                  </w:r>
                </w:p>
              </w:tc>
              <w:tc>
                <w:tcPr>
                  <w:tcW w:w="709" w:type="dxa"/>
                  <w:noWrap w:val="0"/>
                  <w:vAlign w:val="top"/>
                </w:tcPr>
                <w:p>
                  <w:pPr>
                    <w:jc w:val="center"/>
                    <w:rPr>
                      <w:rFonts w:hint="eastAsia" w:ascii="仿宋_GB2312" w:eastAsia="仿宋_GB2312"/>
                      <w:bCs/>
                      <w:szCs w:val="21"/>
                    </w:rPr>
                  </w:pPr>
                  <w:r>
                    <w:rPr>
                      <w:rFonts w:hint="eastAsia" w:ascii="仿宋_GB2312" w:eastAsia="仿宋_GB2312"/>
                      <w:bCs/>
                      <w:szCs w:val="21"/>
                    </w:rPr>
                    <w:t>备注</w:t>
                  </w:r>
                </w:p>
              </w:tc>
              <w:tc>
                <w:tcPr>
                  <w:tcW w:w="2032" w:type="dxa"/>
                  <w:noWrap w:val="0"/>
                  <w:vAlign w:val="top"/>
                </w:tcPr>
                <w:p>
                  <w:pPr>
                    <w:jc w:val="center"/>
                    <w:rPr>
                      <w:rFonts w:hint="eastAsia" w:ascii="仿宋_GB2312" w:eastAsia="仿宋_GB2312"/>
                      <w:bCs/>
                      <w:szCs w:val="21"/>
                    </w:rPr>
                  </w:pPr>
                  <w:r>
                    <w:rPr>
                      <w:rFonts w:hint="eastAsia" w:ascii="仿宋_GB2312" w:eastAsia="仿宋_GB2312"/>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1" w:type="dxa"/>
                  <w:noWrap w:val="0"/>
                  <w:vAlign w:val="top"/>
                </w:tcPr>
                <w:p>
                  <w:pPr>
                    <w:jc w:val="center"/>
                    <w:rPr>
                      <w:rFonts w:hint="eastAsia" w:ascii="仿宋_GB2312" w:eastAsia="仿宋_GB2312"/>
                      <w:bCs/>
                      <w:szCs w:val="21"/>
                    </w:rPr>
                  </w:pPr>
                  <w:r>
                    <w:rPr>
                      <w:rFonts w:hint="eastAsia" w:ascii="仿宋_GB2312" w:eastAsia="仿宋_GB2312"/>
                      <w:bCs/>
                      <w:szCs w:val="21"/>
                    </w:rPr>
                    <w:t>1</w:t>
                  </w:r>
                </w:p>
              </w:tc>
              <w:tc>
                <w:tcPr>
                  <w:tcW w:w="1550" w:type="dxa"/>
                  <w:noWrap w:val="0"/>
                  <w:vAlign w:val="top"/>
                </w:tcPr>
                <w:p>
                  <w:pPr>
                    <w:jc w:val="center"/>
                    <w:rPr>
                      <w:rFonts w:hint="eastAsia" w:ascii="仿宋_GB2312" w:eastAsia="仿宋_GB2312"/>
                      <w:bCs/>
                      <w:szCs w:val="21"/>
                    </w:rPr>
                  </w:pPr>
                  <w:r>
                    <w:rPr>
                      <w:rFonts w:hint="eastAsia" w:ascii="仿宋_GB2312" w:eastAsia="仿宋_GB2312"/>
                      <w:bCs/>
                      <w:szCs w:val="21"/>
                    </w:rPr>
                    <w:t>/</w:t>
                  </w:r>
                </w:p>
              </w:tc>
              <w:tc>
                <w:tcPr>
                  <w:tcW w:w="2209" w:type="dxa"/>
                  <w:noWrap w:val="0"/>
                  <w:vAlign w:val="top"/>
                </w:tcPr>
                <w:p>
                  <w:pPr>
                    <w:jc w:val="left"/>
                    <w:rPr>
                      <w:rFonts w:hint="eastAsia" w:ascii="仿宋_GB2312" w:hAnsi="宋体" w:eastAsia="仿宋_GB2312" w:cs="宋体"/>
                      <w:kern w:val="0"/>
                      <w:szCs w:val="21"/>
                    </w:rPr>
                  </w:pPr>
                  <w:r>
                    <w:rPr>
                      <w:rFonts w:hint="eastAsia" w:ascii="仿宋_GB2312" w:eastAsia="仿宋_GB2312"/>
                    </w:rPr>
                    <w:t>光明区202</w:t>
                  </w:r>
                  <w:r>
                    <w:rPr>
                      <w:rFonts w:hint="eastAsia" w:ascii="仿宋_GB2312" w:eastAsia="仿宋_GB2312"/>
                      <w:lang w:val="en-US" w:eastAsia="zh-CN"/>
                    </w:rPr>
                    <w:t>5</w:t>
                  </w:r>
                  <w:r>
                    <w:rPr>
                      <w:rFonts w:hint="eastAsia" w:ascii="仿宋_GB2312" w:eastAsia="仿宋_GB2312"/>
                    </w:rPr>
                    <w:t>年度房产测绘成果审核与不动产权籍调查</w:t>
                  </w:r>
                </w:p>
              </w:tc>
              <w:tc>
                <w:tcPr>
                  <w:tcW w:w="850" w:type="dxa"/>
                  <w:noWrap w:val="0"/>
                  <w:vAlign w:val="top"/>
                </w:tcPr>
                <w:p>
                  <w:pPr>
                    <w:jc w:val="center"/>
                    <w:rPr>
                      <w:rFonts w:hint="eastAsia" w:ascii="仿宋_GB2312" w:eastAsia="仿宋_GB2312"/>
                      <w:bCs/>
                      <w:szCs w:val="21"/>
                    </w:rPr>
                  </w:pPr>
                  <w:r>
                    <w:rPr>
                      <w:rFonts w:hint="eastAsia" w:ascii="仿宋_GB2312" w:eastAsia="仿宋_GB2312"/>
                      <w:bCs/>
                      <w:szCs w:val="21"/>
                    </w:rPr>
                    <w:t>1</w:t>
                  </w:r>
                </w:p>
              </w:tc>
              <w:tc>
                <w:tcPr>
                  <w:tcW w:w="709" w:type="dxa"/>
                  <w:noWrap w:val="0"/>
                  <w:vAlign w:val="top"/>
                </w:tcPr>
                <w:p>
                  <w:pPr>
                    <w:jc w:val="center"/>
                    <w:rPr>
                      <w:rFonts w:hint="eastAsia" w:ascii="仿宋_GB2312" w:eastAsia="仿宋_GB2312"/>
                      <w:bCs/>
                      <w:szCs w:val="21"/>
                    </w:rPr>
                  </w:pPr>
                  <w:r>
                    <w:rPr>
                      <w:rFonts w:hint="eastAsia" w:ascii="仿宋_GB2312" w:eastAsia="仿宋_GB2312"/>
                      <w:bCs/>
                      <w:szCs w:val="21"/>
                    </w:rPr>
                    <w:t>项</w:t>
                  </w:r>
                </w:p>
              </w:tc>
              <w:tc>
                <w:tcPr>
                  <w:tcW w:w="709" w:type="dxa"/>
                  <w:noWrap w:val="0"/>
                  <w:vAlign w:val="top"/>
                </w:tcPr>
                <w:p>
                  <w:pPr>
                    <w:jc w:val="center"/>
                    <w:rPr>
                      <w:rFonts w:hint="eastAsia" w:ascii="仿宋_GB2312" w:eastAsia="仿宋_GB2312"/>
                      <w:bCs/>
                      <w:szCs w:val="21"/>
                    </w:rPr>
                  </w:pPr>
                </w:p>
              </w:tc>
              <w:tc>
                <w:tcPr>
                  <w:tcW w:w="2032" w:type="dxa"/>
                  <w:noWrap w:val="0"/>
                  <w:vAlign w:val="top"/>
                </w:tcPr>
                <w:p>
                  <w:pPr>
                    <w:jc w:val="center"/>
                    <w:rPr>
                      <w:rFonts w:hint="eastAsia" w:ascii="仿宋_GB2312" w:eastAsia="仿宋_GB2312"/>
                      <w:bCs/>
                      <w:szCs w:val="21"/>
                    </w:rPr>
                  </w:pPr>
                  <w:r>
                    <w:rPr>
                      <w:rFonts w:hint="eastAsia" w:ascii="仿宋_GB2312" w:eastAsia="仿宋_GB2312"/>
                      <w:bCs/>
                      <w:szCs w:val="21"/>
                      <w:lang w:val="en-US" w:eastAsia="zh-CN"/>
                    </w:rPr>
                    <w:t>500000</w:t>
                  </w:r>
                  <w:r>
                    <w:rPr>
                      <w:rFonts w:hint="eastAsia" w:ascii="仿宋_GB2312" w:eastAsia="仿宋_GB2312"/>
                      <w:bCs/>
                      <w:szCs w:val="21"/>
                    </w:rPr>
                    <w:t xml:space="preserve"> </w:t>
                  </w:r>
                </w:p>
              </w:tc>
            </w:tr>
          </w:tbl>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具体技术要求</w:t>
            </w:r>
          </w:p>
        </w:tc>
        <w:tc>
          <w:tcPr>
            <w:tcW w:w="9265" w:type="dxa"/>
            <w:gridSpan w:val="4"/>
            <w:noWrap w:val="0"/>
            <w:vAlign w:val="top"/>
          </w:tcPr>
          <w:p>
            <w:pPr>
              <w:ind w:firstLine="420" w:firstLineChars="200"/>
              <w:rPr>
                <w:rFonts w:hint="eastAsia" w:ascii="黑体" w:hAnsi="黑体" w:eastAsia="黑体"/>
              </w:rPr>
            </w:pPr>
            <w:r>
              <w:rPr>
                <w:rFonts w:hint="eastAsia" w:ascii="黑体" w:hAnsi="黑体" w:eastAsia="黑体"/>
              </w:rPr>
              <w:t xml:space="preserve">一、总体要求  </w:t>
            </w:r>
          </w:p>
          <w:p>
            <w:pPr>
              <w:tabs>
                <w:tab w:val="left" w:pos="142"/>
              </w:tabs>
              <w:ind w:firstLine="420" w:firstLineChars="200"/>
              <w:rPr>
                <w:rFonts w:hint="eastAsia" w:ascii="仿宋_GB2312" w:eastAsia="仿宋_GB2312"/>
              </w:rPr>
            </w:pPr>
            <w:r>
              <w:rPr>
                <w:rFonts w:hint="eastAsia" w:ascii="仿宋_GB2312" w:eastAsia="仿宋_GB2312"/>
              </w:rPr>
              <w:t>通过房产测绘成果审核，确保房产测绘成果的准确性、有效性、严肃性，落实我局管理职责，更好的保持我市“多测合一”的优势。在成果审核工作推进中实现房产测绘成果的四个统一，即数据入口统一、数据管理统一、数据标准统一、数据共享统一。</w:t>
            </w:r>
          </w:p>
          <w:p>
            <w:pPr>
              <w:ind w:firstLine="420" w:firstLineChars="200"/>
              <w:rPr>
                <w:rFonts w:hint="eastAsia" w:ascii="仿宋_GB2312" w:eastAsia="仿宋_GB2312"/>
              </w:rPr>
            </w:pPr>
            <w:r>
              <w:rPr>
                <w:rFonts w:hint="eastAsia" w:ascii="仿宋_GB2312" w:eastAsia="仿宋_GB2312"/>
              </w:rPr>
              <w:t>在房产测绘成果审核的基础上，通过内化模式开展不动产权籍调查，整合权籍调查和测绘成果，汇总形成一套规范、完整、准确的不动产权籍调查成果，作为不动产统一登记的要件，为登记工作提供坚实的数据保障和技术支撑。</w:t>
            </w:r>
          </w:p>
          <w:p>
            <w:pPr>
              <w:ind w:firstLine="420" w:firstLineChars="200"/>
              <w:rPr>
                <w:rFonts w:hint="eastAsia" w:ascii="黑体" w:hAnsi="黑体" w:eastAsia="黑体"/>
              </w:rPr>
            </w:pPr>
            <w:r>
              <w:rPr>
                <w:rFonts w:hint="eastAsia" w:ascii="黑体" w:hAnsi="黑体" w:eastAsia="黑体"/>
              </w:rPr>
              <w:t>二、工作范围</w:t>
            </w:r>
          </w:p>
          <w:p>
            <w:pPr>
              <w:ind w:left="420"/>
              <w:rPr>
                <w:rFonts w:hint="eastAsia" w:ascii="仿宋_GB2312" w:eastAsia="仿宋_GB2312"/>
              </w:rPr>
            </w:pPr>
            <w:r>
              <w:rPr>
                <w:rFonts w:hint="eastAsia" w:ascii="仿宋_GB2312" w:eastAsia="仿宋_GB2312"/>
              </w:rPr>
              <w:t>光明区。</w:t>
            </w:r>
          </w:p>
          <w:p>
            <w:pPr>
              <w:ind w:firstLine="420" w:firstLineChars="200"/>
              <w:rPr>
                <w:rFonts w:hint="eastAsia" w:ascii="黑体" w:hAnsi="黑体" w:eastAsia="黑体"/>
              </w:rPr>
            </w:pPr>
            <w:r>
              <w:rPr>
                <w:rFonts w:hint="eastAsia" w:ascii="黑体" w:hAnsi="黑体" w:eastAsia="黑体"/>
              </w:rPr>
              <w:t xml:space="preserve">三、工作内容 </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（一）房产测绘成果审核工作内容</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1.纸质成果审核</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主要审核内容如下：检查成果完整与规范；栋、功能区划分；计全、计半、不计面积范围划分；共有面积分摊、计算；核增面积范围；核减面积范围划分、计算；建筑面积分项指标及统计；分割测点点位布设及相关说明；退红线点位选取；测绘说明；特殊问题处理及说明；</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2.数据成果审核</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3.实地抽查勘测</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建筑物外轮廓；分户格局抽查；公共空间范围抽查；建筑层数核查、层高抽查；建筑空间尺寸抽查；加、改建情况抽查及复核说明；特殊部位抽查（设备层、避难层、屋面构架、架空空间等）；房产界址点、房角点抽查；现状地形图现势性；需要实地查看的其它事项；</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4.审核结果及数据成果加工入库</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将房产测绘成果数据整理导入“数据管理与应用系统”；加工生成项目建筑技术经济指标表等；按规定内容上传成果数据。</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（二）不动产权籍调查工作内容</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1.收集、分析资料</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借助地籍信息系统等平台，收集调查范围内的土地征、转、收、批文等相关文件及土地勘测定界图、房屋测量成果；整理、分析收集的资料。</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2.权属调查</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开展权属调查，编制不动产单元代码，查清土地权属状况，建立权属数据库，填写《不动产权籍调查表》。</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3.成果整合</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按《不动产权籍调查规程》要求，整合权属调查和测量成果，填写《不动产权籍调查表》、编制《不动产测量报告》、生成分层分户图，将成果上传至不动产权籍调查成果管理系统。</w:t>
            </w:r>
          </w:p>
          <w:p>
            <w:pPr>
              <w:ind w:firstLine="420" w:firstLineChars="200"/>
              <w:rPr>
                <w:rFonts w:hint="eastAsia" w:ascii="黑体" w:hAnsi="黑体" w:eastAsia="黑体"/>
              </w:rPr>
            </w:pPr>
            <w:r>
              <w:rPr>
                <w:rFonts w:hint="eastAsia" w:ascii="黑体" w:hAnsi="黑体" w:eastAsia="黑体"/>
              </w:rPr>
              <w:t xml:space="preserve">四、成果要求  </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（一）项目主要成果</w:t>
            </w:r>
          </w:p>
          <w:p>
            <w:pPr>
              <w:ind w:firstLine="420" w:firstLineChars="200"/>
              <w:rPr>
                <w:rFonts w:hint="eastAsia" w:ascii="黑体" w:hAnsi="黑体" w:eastAsia="黑体"/>
              </w:rPr>
            </w:pPr>
            <w:r>
              <w:rPr>
                <w:rFonts w:hint="eastAsia" w:ascii="仿宋_GB2312" w:hAnsi="宋体" w:eastAsia="仿宋_GB2312" w:cs="仿宋"/>
                <w:szCs w:val="21"/>
              </w:rPr>
              <w:t>《房产测绘成果审核意见书》、《不动产权籍调查表》。</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（二）成果形式</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文档：电子稿和纸质稿（word格式）；</w:t>
            </w:r>
          </w:p>
          <w:p>
            <w:pPr>
              <w:ind w:firstLine="420" w:firstLineChars="200"/>
              <w:rPr>
                <w:rFonts w:hint="eastAsia" w:ascii="仿宋_GB2312" w:hAnsi="宋体" w:eastAsia="仿宋_GB2312" w:cs="仿宋"/>
                <w:bCs/>
                <w:szCs w:val="21"/>
              </w:rPr>
            </w:pPr>
            <w:r>
              <w:rPr>
                <w:rFonts w:hint="eastAsia" w:ascii="仿宋_GB2312" w:hAnsi="宋体" w:eastAsia="仿宋_GB2312" w:cs="仿宋"/>
                <w:szCs w:val="21"/>
              </w:rPr>
              <w:t>数据：CAD、SHP、JPG。</w:t>
            </w:r>
          </w:p>
          <w:p>
            <w:pPr>
              <w:ind w:firstLine="420" w:firstLineChars="200"/>
              <w:rPr>
                <w:rFonts w:hint="eastAsia" w:ascii="黑体" w:hAnsi="黑体" w:eastAsia="黑体"/>
              </w:rPr>
            </w:pPr>
            <w:r>
              <w:rPr>
                <w:rFonts w:hint="eastAsia" w:ascii="黑体" w:hAnsi="黑体" w:eastAsia="黑体"/>
              </w:rPr>
              <w:t xml:space="preserve">五、人员安排要求  </w:t>
            </w:r>
          </w:p>
          <w:p>
            <w:pPr>
              <w:ind w:firstLine="420" w:firstLineChars="200"/>
              <w:rPr>
                <w:rFonts w:hint="eastAsia" w:ascii="仿宋_GB2312" w:eastAsia="仿宋_GB2312"/>
              </w:rPr>
            </w:pPr>
            <w:r>
              <w:rPr>
                <w:rFonts w:hint="eastAsia" w:ascii="仿宋_GB2312" w:eastAsia="仿宋_GB2312"/>
              </w:rPr>
              <w:t>（1）中标人需安排的项目技术人员应有多年权籍调查、房产测绘、地籍调查、国土调查、土地调查相关项目经验，了解和熟悉不动产权籍调查、房产测绘等工作情况；近</w:t>
            </w:r>
            <w:r>
              <w:rPr>
                <w:rFonts w:hint="eastAsia" w:ascii="仿宋_GB2312" w:eastAsia="仿宋_GB2312"/>
                <w:lang w:val="en-US" w:eastAsia="zh-CN"/>
              </w:rPr>
              <w:t>3</w:t>
            </w:r>
            <w:r>
              <w:rPr>
                <w:rFonts w:hint="eastAsia" w:ascii="仿宋_GB2312" w:eastAsia="仿宋_GB2312"/>
              </w:rPr>
              <w:t>年参与过不动产权籍调查、房产测绘等工作相关的项目。</w:t>
            </w:r>
          </w:p>
          <w:p>
            <w:pPr>
              <w:ind w:firstLine="420" w:firstLineChars="200"/>
              <w:rPr>
                <w:rFonts w:hint="eastAsia" w:ascii="仿宋_GB2312" w:eastAsia="仿宋_GB2312"/>
              </w:rPr>
            </w:pPr>
            <w:r>
              <w:rPr>
                <w:rFonts w:hint="eastAsia" w:ascii="仿宋_GB2312" w:eastAsia="仿宋_GB2312"/>
              </w:rPr>
              <w:t>（2）中标人需安排至少6名技术人员参与本项目。技术人员中不少于1名高级工程师。</w:t>
            </w:r>
          </w:p>
          <w:p>
            <w:pPr>
              <w:ind w:firstLine="420" w:firstLineChars="200"/>
              <w:rPr>
                <w:rFonts w:hint="eastAsia"/>
              </w:rPr>
            </w:pPr>
            <w:r>
              <w:rPr>
                <w:rFonts w:hint="eastAsia" w:ascii="仿宋_GB2312" w:eastAsia="仿宋_GB2312"/>
              </w:rPr>
              <w:t>（3）在服务期限内，中标人应按照投标文件中承诺安排项目负责人和团队成员，</w:t>
            </w:r>
            <w:r>
              <w:rPr>
                <w:rFonts w:hint="eastAsia" w:ascii="仿宋_GB2312" w:hAnsi="宋体" w:eastAsia="仿宋_GB2312"/>
              </w:rPr>
              <w:t>未经采购人同意中标人不能更换项目负责人</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服务需求</w:t>
            </w:r>
          </w:p>
        </w:tc>
        <w:tc>
          <w:tcPr>
            <w:tcW w:w="9265" w:type="dxa"/>
            <w:gridSpan w:val="4"/>
            <w:noWrap w:val="0"/>
            <w:vAlign w:val="top"/>
          </w:tcPr>
          <w:p>
            <w:pPr>
              <w:ind w:firstLine="420" w:firstLineChars="200"/>
              <w:rPr>
                <w:rFonts w:hint="eastAsia" w:ascii="黑体" w:hAnsi="黑体" w:eastAsia="黑体"/>
              </w:rPr>
            </w:pPr>
            <w:r>
              <w:rPr>
                <w:rFonts w:hint="eastAsia" w:ascii="黑体" w:hAnsi="黑体" w:eastAsia="黑体"/>
              </w:rPr>
              <w:t xml:space="preserve">一、服务期限  </w:t>
            </w:r>
          </w:p>
          <w:p>
            <w:pPr>
              <w:ind w:firstLine="420" w:firstLineChars="200"/>
              <w:rPr>
                <w:rFonts w:hint="eastAsia" w:ascii="仿宋_GB2312" w:hAnsi="宋体" w:eastAsia="仿宋_GB2312"/>
                <w:szCs w:val="21"/>
              </w:rPr>
            </w:pPr>
            <w:r>
              <w:rPr>
                <w:rFonts w:hint="eastAsia" w:ascii="仿宋_GB2312" w:hAnsi="宋体" w:eastAsia="仿宋_GB2312"/>
                <w:szCs w:val="21"/>
              </w:rPr>
              <w:t>项目服务期限为自签订合同之日起1年内完成。本项目履行期限届满后，如双方认为需要继续延长服务期限，应重新签订书面合同。</w:t>
            </w:r>
          </w:p>
          <w:p>
            <w:pPr>
              <w:ind w:firstLine="420" w:firstLineChars="200"/>
              <w:rPr>
                <w:rFonts w:hint="eastAsia" w:ascii="黑体" w:hAnsi="黑体" w:eastAsia="黑体"/>
              </w:rPr>
            </w:pPr>
            <w:r>
              <w:rPr>
                <w:rFonts w:hint="eastAsia" w:ascii="黑体" w:hAnsi="黑体" w:eastAsia="黑体"/>
              </w:rPr>
              <w:t xml:space="preserve">二、进度安排 </w:t>
            </w:r>
          </w:p>
          <w:p>
            <w:pPr>
              <w:ind w:firstLine="420" w:firstLineChars="200"/>
              <w:rPr>
                <w:rFonts w:hint="eastAsia" w:ascii="仿宋_GB2312" w:eastAsia="仿宋_GB2312"/>
              </w:rPr>
            </w:pPr>
            <w:r>
              <w:rPr>
                <w:rFonts w:hint="eastAsia" w:ascii="仿宋_GB2312" w:eastAsia="仿宋_GB2312"/>
              </w:rPr>
              <w:t>（1）中标人应按合同要求按时、按质、按量推进项目工作。</w:t>
            </w:r>
          </w:p>
          <w:p>
            <w:pPr>
              <w:ind w:firstLine="420" w:firstLineChars="200"/>
              <w:rPr>
                <w:rFonts w:hint="eastAsia" w:ascii="仿宋_GB2312" w:eastAsia="仿宋_GB2312"/>
              </w:rPr>
            </w:pPr>
            <w:r>
              <w:rPr>
                <w:rFonts w:hint="eastAsia" w:ascii="仿宋_GB2312" w:eastAsia="仿宋_GB2312"/>
              </w:rPr>
              <w:t>（2）中标人项目组成员应按采购人的要求参加本项目审查和讨论的全部工作会议。</w:t>
            </w:r>
          </w:p>
          <w:p>
            <w:pPr>
              <w:ind w:firstLine="420" w:firstLineChars="200"/>
              <w:rPr>
                <w:rFonts w:hint="eastAsia" w:ascii="黑体" w:hAnsi="黑体" w:eastAsia="黑体"/>
              </w:rPr>
            </w:pPr>
            <w:r>
              <w:rPr>
                <w:rFonts w:hint="eastAsia" w:ascii="黑体" w:hAnsi="黑体" w:eastAsia="黑体"/>
              </w:rPr>
              <w:t xml:space="preserve">三、付款方式  </w:t>
            </w:r>
          </w:p>
          <w:p>
            <w:pPr>
              <w:tabs>
                <w:tab w:val="left" w:pos="419"/>
              </w:tabs>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本项目合同总款项限额为</w:t>
            </w:r>
            <w:r>
              <w:rPr>
                <w:rFonts w:hint="eastAsia" w:ascii="仿宋_GB2312" w:eastAsia="仿宋_GB2312" w:cs="Times New Roman"/>
                <w:lang w:val="en-US" w:eastAsia="zh-CN"/>
              </w:rPr>
              <w:t>50</w:t>
            </w:r>
            <w:r>
              <w:rPr>
                <w:rFonts w:hint="eastAsia" w:ascii="仿宋_GB2312" w:hAnsi="Times New Roman" w:eastAsia="仿宋_GB2312" w:cs="Times New Roman"/>
              </w:rPr>
              <w:t>万元，分2期支付：</w:t>
            </w:r>
          </w:p>
          <w:p>
            <w:pPr>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首期：双方签订合同后，</w:t>
            </w:r>
            <w:r>
              <w:rPr>
                <w:rFonts w:hint="eastAsia" w:ascii="仿宋_GB2312" w:hAnsi="Times New Roman" w:eastAsia="仿宋_GB2312" w:cs="Times New Roman"/>
                <w:lang w:eastAsia="zh-CN"/>
              </w:rPr>
              <w:t>中标人</w:t>
            </w:r>
            <w:r>
              <w:rPr>
                <w:rFonts w:hint="eastAsia" w:ascii="仿宋_GB2312" w:hAnsi="Times New Roman" w:eastAsia="仿宋_GB2312" w:cs="Times New Roman"/>
              </w:rPr>
              <w:t>提交付款申请之日起60个工作日内，</w:t>
            </w:r>
            <w:r>
              <w:rPr>
                <w:rFonts w:hint="eastAsia" w:ascii="仿宋_GB2312" w:hAnsi="Times New Roman" w:eastAsia="仿宋_GB2312" w:cs="Times New Roman"/>
                <w:lang w:eastAsia="zh-CN"/>
              </w:rPr>
              <w:t>采购人</w:t>
            </w:r>
            <w:r>
              <w:rPr>
                <w:rFonts w:hint="eastAsia" w:ascii="仿宋_GB2312" w:hAnsi="Times New Roman" w:eastAsia="仿宋_GB2312" w:cs="Times New Roman"/>
              </w:rPr>
              <w:t>向</w:t>
            </w:r>
            <w:r>
              <w:rPr>
                <w:rFonts w:hint="eastAsia" w:ascii="仿宋_GB2312" w:hAnsi="Times New Roman" w:eastAsia="仿宋_GB2312" w:cs="Times New Roman"/>
                <w:lang w:eastAsia="zh-CN"/>
              </w:rPr>
              <w:t>中标人</w:t>
            </w:r>
            <w:r>
              <w:rPr>
                <w:rFonts w:hint="eastAsia" w:ascii="仿宋_GB2312" w:hAnsi="Times New Roman" w:eastAsia="仿宋_GB2312" w:cs="Times New Roman"/>
              </w:rPr>
              <w:t>支付</w:t>
            </w:r>
            <w:r>
              <w:rPr>
                <w:rFonts w:hint="eastAsia" w:ascii="仿宋_GB2312" w:hAnsi="Times New Roman" w:eastAsia="仿宋_GB2312" w:cs="Times New Roman"/>
                <w:lang w:val="en-US" w:eastAsia="zh-CN"/>
              </w:rPr>
              <w:t>合同价款的50%</w:t>
            </w:r>
            <w:r>
              <w:rPr>
                <w:rFonts w:hint="eastAsia" w:ascii="仿宋_GB2312" w:hAnsi="Times New Roman" w:eastAsia="仿宋_GB2312" w:cs="Times New Roman"/>
              </w:rPr>
              <w:t>；</w:t>
            </w:r>
          </w:p>
          <w:p>
            <w:pPr>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末期：</w:t>
            </w:r>
            <w:r>
              <w:rPr>
                <w:rFonts w:hint="eastAsia" w:ascii="仿宋_GB2312" w:hAnsi="Times New Roman" w:eastAsia="仿宋_GB2312" w:cs="Times New Roman"/>
                <w:lang w:eastAsia="zh-CN"/>
              </w:rPr>
              <w:t>中标人</w:t>
            </w:r>
            <w:r>
              <w:rPr>
                <w:rFonts w:hint="eastAsia" w:ascii="仿宋_GB2312" w:hAnsi="Times New Roman" w:eastAsia="仿宋_GB2312" w:cs="Times New Roman"/>
              </w:rPr>
              <w:t>提交全部项目成果并经</w:t>
            </w:r>
            <w:r>
              <w:rPr>
                <w:rFonts w:hint="eastAsia" w:ascii="仿宋_GB2312" w:hAnsi="Times New Roman" w:eastAsia="仿宋_GB2312" w:cs="Times New Roman"/>
                <w:lang w:eastAsia="zh-CN"/>
              </w:rPr>
              <w:t>采购人</w:t>
            </w:r>
            <w:r>
              <w:rPr>
                <w:rFonts w:hint="eastAsia" w:ascii="仿宋_GB2312" w:hAnsi="Times New Roman" w:eastAsia="仿宋_GB2312" w:cs="Times New Roman"/>
              </w:rPr>
              <w:t>审查合格后，由</w:t>
            </w:r>
            <w:r>
              <w:rPr>
                <w:rFonts w:hint="eastAsia" w:ascii="仿宋_GB2312" w:hAnsi="Times New Roman" w:eastAsia="仿宋_GB2312" w:cs="Times New Roman"/>
                <w:lang w:eastAsia="zh-CN"/>
              </w:rPr>
              <w:t>采购人</w:t>
            </w:r>
            <w:r>
              <w:rPr>
                <w:rFonts w:hint="eastAsia" w:ascii="仿宋_GB2312" w:hAnsi="Times New Roman" w:eastAsia="仿宋_GB2312" w:cs="Times New Roman"/>
              </w:rPr>
              <w:t>进行结算，扣减已支付款项后，支付合同尾款。若项目合计费用超过合同价款，则按合同价款进行结算；不足则按实际工作量进行结算。</w:t>
            </w:r>
          </w:p>
          <w:p>
            <w:pPr>
              <w:ind w:firstLine="420" w:firstLineChars="200"/>
              <w:rPr>
                <w:rFonts w:hint="eastAsia" w:ascii="仿宋_GB2312" w:eastAsia="仿宋_GB2312"/>
                <w:szCs w:val="21"/>
              </w:rPr>
            </w:pPr>
            <w:r>
              <w:rPr>
                <w:rFonts w:hint="eastAsia" w:ascii="仿宋_GB2312" w:hAnsi="Times New Roman" w:eastAsia="仿宋_GB2312" w:cs="Times New Roman"/>
              </w:rPr>
              <w:t>中标人收取款项前应向采购人开</w:t>
            </w:r>
            <w:r>
              <w:rPr>
                <w:rFonts w:hint="eastAsia" w:ascii="仿宋_GB2312" w:eastAsia="仿宋_GB2312"/>
                <w:szCs w:val="21"/>
              </w:rPr>
              <w:t>具并提交合法有效的等额发票，否则采购人有权拒付款项；因中标人未提供发票或采购人财政审批导致的支付延迟，不视为采购人违约。</w:t>
            </w:r>
          </w:p>
          <w:p>
            <w:pPr>
              <w:ind w:firstLine="482"/>
              <w:rPr>
                <w:rFonts w:hint="eastAsia" w:ascii="仿宋_GB2312" w:eastAsia="仿宋_GB2312"/>
                <w:szCs w:val="21"/>
              </w:rPr>
            </w:pPr>
            <w:r>
              <w:rPr>
                <w:rFonts w:hint="eastAsia" w:ascii="仿宋_GB2312" w:eastAsia="仿宋_GB2312"/>
                <w:szCs w:val="21"/>
              </w:rPr>
              <w:t>具体以合同约定为准。</w:t>
            </w:r>
          </w:p>
          <w:p>
            <w:pPr>
              <w:ind w:firstLine="420" w:firstLineChars="200"/>
              <w:rPr>
                <w:rFonts w:hint="eastAsia" w:ascii="仿宋_GB2312" w:eastAsia="仿宋_GB2312"/>
              </w:rPr>
            </w:pPr>
            <w:r>
              <w:rPr>
                <w:rFonts w:hint="eastAsia" w:ascii="黑体" w:hAnsi="黑体" w:eastAsia="黑体"/>
              </w:rPr>
              <w:t xml:space="preserve">四、验收要求 </w:t>
            </w:r>
            <w:r>
              <w:rPr>
                <w:rFonts w:hint="eastAsia" w:ascii="仿宋_GB2312" w:eastAsia="仿宋_GB2312"/>
              </w:rPr>
              <w:t xml:space="preserve"> </w:t>
            </w:r>
          </w:p>
          <w:p>
            <w:pPr>
              <w:ind w:firstLine="420" w:firstLineChars="200"/>
              <w:rPr>
                <w:rFonts w:hint="eastAsia" w:ascii="仿宋_GB2312" w:eastAsia="仿宋_GB2312"/>
              </w:rPr>
            </w:pPr>
            <w:r>
              <w:rPr>
                <w:rFonts w:hint="eastAsia" w:ascii="仿宋_GB2312" w:eastAsia="仿宋_GB2312"/>
              </w:rPr>
              <w:t>由深圳市规划和自然资源局光明管理局召开业务会对中标人完成的项目成果进行验收,以会议纪要作为验收凭证。</w:t>
            </w:r>
          </w:p>
          <w:p>
            <w:pPr>
              <w:ind w:firstLine="420" w:firstLineChars="200"/>
              <w:rPr>
                <w:rFonts w:hint="eastAsia" w:ascii="黑体" w:hAnsi="黑体" w:eastAsia="黑体"/>
              </w:rPr>
            </w:pPr>
            <w:r>
              <w:rPr>
                <w:rFonts w:hint="eastAsia" w:ascii="黑体" w:hAnsi="黑体" w:eastAsia="黑体"/>
              </w:rPr>
              <w:t xml:space="preserve">五、售后服务要求  </w:t>
            </w:r>
          </w:p>
          <w:p>
            <w:pPr>
              <w:ind w:firstLine="420" w:firstLineChars="200"/>
              <w:rPr>
                <w:rFonts w:hint="eastAsia" w:ascii="仿宋_GB2312" w:eastAsia="仿宋_GB2312"/>
              </w:rPr>
            </w:pPr>
            <w:r>
              <w:rPr>
                <w:rFonts w:hint="eastAsia" w:ascii="仿宋_GB2312" w:eastAsia="仿宋_GB2312"/>
              </w:rPr>
              <w:t>（1）售后服务期限从最后成果提交采购人之日起一年。</w:t>
            </w:r>
          </w:p>
          <w:p>
            <w:pPr>
              <w:ind w:firstLine="420" w:firstLineChars="200"/>
              <w:rPr>
                <w:rFonts w:hint="eastAsia" w:ascii="仿宋_GB2312" w:eastAsia="仿宋_GB2312"/>
              </w:rPr>
            </w:pPr>
            <w:r>
              <w:rPr>
                <w:rFonts w:hint="eastAsia" w:ascii="仿宋_GB2312" w:eastAsia="仿宋_GB2312"/>
              </w:rPr>
              <w:t>（2）在售后服务期限内提供相关咨询、协调、项目审查和报告更新等技术支持。</w:t>
            </w:r>
          </w:p>
          <w:p>
            <w:pPr>
              <w:ind w:firstLine="420" w:firstLineChars="200"/>
              <w:rPr>
                <w:rFonts w:hint="eastAsia" w:ascii="仿宋_GB2312" w:eastAsia="仿宋_GB2312"/>
              </w:rPr>
            </w:pPr>
            <w:r>
              <w:rPr>
                <w:rFonts w:hint="eastAsia" w:ascii="仿宋_GB2312" w:eastAsia="仿宋_GB2312"/>
              </w:rPr>
              <w:t>（3）安排专人负责售后技术支持，并提供其联系手机、电话、传真、email；如人员需要调整应及时通知采购人。</w:t>
            </w:r>
          </w:p>
          <w:p>
            <w:pPr>
              <w:ind w:firstLine="420" w:firstLineChars="200"/>
              <w:rPr>
                <w:rFonts w:hint="eastAsia" w:ascii="仿宋_GB2312" w:eastAsia="仿宋_GB2312"/>
              </w:rPr>
            </w:pPr>
            <w:r>
              <w:rPr>
                <w:rFonts w:hint="eastAsia" w:ascii="黑体" w:hAnsi="黑体" w:eastAsia="黑体"/>
              </w:rPr>
              <w:t xml:space="preserve">六、项目其他要求 </w:t>
            </w:r>
            <w:r>
              <w:rPr>
                <w:rFonts w:hint="eastAsia" w:ascii="仿宋_GB2312" w:eastAsia="仿宋_GB2312"/>
              </w:rPr>
              <w:t xml:space="preserve"> </w:t>
            </w:r>
          </w:p>
          <w:p>
            <w:pPr>
              <w:ind w:firstLine="420" w:firstLineChars="200"/>
              <w:rPr>
                <w:rFonts w:hint="eastAsia" w:ascii="仿宋_GB2312" w:eastAsia="仿宋_GB2312"/>
              </w:rPr>
            </w:pPr>
            <w:r>
              <w:rPr>
                <w:rFonts w:hint="eastAsia" w:ascii="仿宋_GB2312" w:eastAsia="仿宋_GB2312"/>
              </w:rPr>
              <w:t>（1）中标人应确保投标文件中的人员信息真实、有效。</w:t>
            </w:r>
          </w:p>
          <w:p>
            <w:pPr>
              <w:ind w:firstLine="420" w:firstLineChars="200"/>
              <w:rPr>
                <w:rFonts w:hint="eastAsia" w:ascii="仿宋_GB2312" w:eastAsia="仿宋_GB2312"/>
              </w:rPr>
            </w:pPr>
            <w:r>
              <w:rPr>
                <w:rFonts w:hint="eastAsia" w:ascii="仿宋_GB2312" w:eastAsia="仿宋_GB2312"/>
              </w:rPr>
              <w:t>（2）中标人必须保守国家机密，不得泄漏采购人所提供的属国家秘密的信息和数据；未经采购人允许，不得使用或者以其它方式给任何第三方提供本项目的相关信息或数据。</w:t>
            </w:r>
          </w:p>
          <w:p>
            <w:pPr>
              <w:ind w:firstLine="420" w:firstLineChars="200"/>
              <w:rPr>
                <w:rFonts w:hint="eastAsia" w:ascii="黑体" w:hAnsi="黑体" w:eastAsia="黑体"/>
              </w:rPr>
            </w:pPr>
            <w:r>
              <w:rPr>
                <w:rFonts w:hint="eastAsia" w:ascii="黑体" w:hAnsi="黑体" w:eastAsia="黑体"/>
              </w:rPr>
              <w:t>七、违约责任</w:t>
            </w:r>
          </w:p>
          <w:p>
            <w:pPr>
              <w:ind w:firstLine="420" w:firstLineChars="200"/>
              <w:rPr>
                <w:rFonts w:hint="eastAsia" w:ascii="仿宋_GB2312" w:eastAsia="仿宋_GB2312"/>
              </w:rPr>
            </w:pPr>
            <w:r>
              <w:rPr>
                <w:rFonts w:hint="eastAsia" w:ascii="仿宋_GB2312" w:eastAsia="仿宋_GB2312"/>
              </w:rPr>
              <w:t>（1）由于中标人工作的错误或遗漏造成本项目成果质量损失的，中标人除负责及时采取有效补救措施外，应免收受损失部分的合同价款，并支付合同总价款15%的违约金。</w:t>
            </w:r>
          </w:p>
          <w:p>
            <w:pPr>
              <w:ind w:firstLine="420" w:firstLineChars="200"/>
              <w:rPr>
                <w:rFonts w:hint="eastAsia" w:ascii="仿宋_GB2312" w:eastAsia="仿宋_GB2312"/>
              </w:rPr>
            </w:pPr>
            <w:r>
              <w:rPr>
                <w:rFonts w:hint="eastAsia" w:ascii="仿宋_GB2312" w:eastAsia="仿宋_GB2312"/>
              </w:rPr>
              <w:t>（2）合同履行期间，中标人未按合同约定的日期(含协商延缓的日期)提交成果的，采购人有权要求中标人支付该阶段合同价款每日0.5‰的逾期违约金，逾期违约金总额不超过合同总价款的20%。</w:t>
            </w:r>
          </w:p>
          <w:p>
            <w:pPr>
              <w:ind w:firstLine="420" w:firstLineChars="200"/>
              <w:rPr>
                <w:rFonts w:hint="eastAsia" w:ascii="仿宋_GB2312" w:eastAsia="仿宋_GB2312"/>
              </w:rPr>
            </w:pPr>
            <w:r>
              <w:rPr>
                <w:rFonts w:hint="eastAsia" w:ascii="仿宋_GB2312" w:eastAsia="仿宋_GB2312"/>
              </w:rPr>
              <w:t>（3）本项目最终成果验收后1年以内，中标人未按采购人要求就本项目提供必要解释和接受咨询的，采购人可要求中标人返还合同总价款5%的费用。</w:t>
            </w:r>
          </w:p>
          <w:p>
            <w:pPr>
              <w:ind w:firstLine="420" w:firstLineChars="200"/>
              <w:rPr>
                <w:rFonts w:hint="eastAsia" w:ascii="仿宋_GB2312" w:eastAsia="仿宋_GB2312"/>
              </w:rPr>
            </w:pPr>
            <w:r>
              <w:rPr>
                <w:rFonts w:hint="eastAsia" w:ascii="仿宋_GB2312" w:eastAsia="仿宋_GB2312"/>
              </w:rPr>
              <w:t>（4）未经采购人许可，中标人不得将该项目的资料或成果向第三方转让或用于本合同项目外的其他项目。如发生以上情况，泄密方承担一切由此引起的后果，并支付对方合同总价款15%的违约金。</w:t>
            </w:r>
          </w:p>
          <w:p>
            <w:pPr>
              <w:ind w:firstLine="482"/>
              <w:rPr>
                <w:rFonts w:hint="eastAsia" w:ascii="仿宋_GB2312" w:eastAsia="仿宋_GB2312"/>
                <w:szCs w:val="21"/>
              </w:rPr>
            </w:pPr>
            <w:r>
              <w:rPr>
                <w:rFonts w:hint="eastAsia" w:ascii="仿宋_GB2312" w:eastAsia="仿宋_GB2312"/>
                <w:szCs w:val="21"/>
              </w:rPr>
              <w:t>具体以合同约定为准。</w:t>
            </w:r>
          </w:p>
          <w:p>
            <w:pPr>
              <w:rPr>
                <w:rFonts w:hint="eastAsia" w:ascii="仿宋_GB2312" w:eastAsia="仿宋_GB2312"/>
              </w:rPr>
            </w:pPr>
          </w:p>
        </w:tc>
      </w:tr>
    </w:tbl>
    <w:p>
      <w:pPr>
        <w:rPr>
          <w:rFonts w:hint="eastAsia" w:ascii="仿宋_GB2312" w:hAnsi="仿宋_GB2312" w:eastAsia="仿宋_GB2312"/>
          <w:sz w:val="28"/>
        </w:rPr>
      </w:pPr>
    </w:p>
    <w:sectPr>
      <w:pgSz w:w="11906" w:h="16838"/>
      <w:pgMar w:top="1191" w:right="1701" w:bottom="124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B5">
    <w:panose1 w:val="0101010401010101010B"/>
    <w:charset w:val="86"/>
    <w:family w:val="auto"/>
    <w:pitch w:val="default"/>
    <w:sig w:usb0="800000A3" w:usb1="00497878"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55"/>
    <w:rsid w:val="000023F7"/>
    <w:rsid w:val="000028C9"/>
    <w:rsid w:val="0000434C"/>
    <w:rsid w:val="0000661B"/>
    <w:rsid w:val="00011EA1"/>
    <w:rsid w:val="00012DF8"/>
    <w:rsid w:val="000177ED"/>
    <w:rsid w:val="00021223"/>
    <w:rsid w:val="00027409"/>
    <w:rsid w:val="00031B43"/>
    <w:rsid w:val="00031F68"/>
    <w:rsid w:val="00033300"/>
    <w:rsid w:val="0003388B"/>
    <w:rsid w:val="00035F2E"/>
    <w:rsid w:val="00042AD3"/>
    <w:rsid w:val="000455D7"/>
    <w:rsid w:val="000542CD"/>
    <w:rsid w:val="000548E9"/>
    <w:rsid w:val="00054AF6"/>
    <w:rsid w:val="0006249D"/>
    <w:rsid w:val="0006416D"/>
    <w:rsid w:val="00066862"/>
    <w:rsid w:val="00067DCE"/>
    <w:rsid w:val="00072291"/>
    <w:rsid w:val="000756BC"/>
    <w:rsid w:val="00076634"/>
    <w:rsid w:val="00076652"/>
    <w:rsid w:val="00083FAA"/>
    <w:rsid w:val="000854ED"/>
    <w:rsid w:val="00087FDE"/>
    <w:rsid w:val="00090593"/>
    <w:rsid w:val="000919C4"/>
    <w:rsid w:val="0009393B"/>
    <w:rsid w:val="0009627E"/>
    <w:rsid w:val="00096C17"/>
    <w:rsid w:val="000A0140"/>
    <w:rsid w:val="000A1288"/>
    <w:rsid w:val="000A3B15"/>
    <w:rsid w:val="000A4CAB"/>
    <w:rsid w:val="000A5246"/>
    <w:rsid w:val="000A7C4F"/>
    <w:rsid w:val="000A7FB2"/>
    <w:rsid w:val="000B406E"/>
    <w:rsid w:val="000B52B4"/>
    <w:rsid w:val="000B778F"/>
    <w:rsid w:val="000C2299"/>
    <w:rsid w:val="000C6AF6"/>
    <w:rsid w:val="000C7C20"/>
    <w:rsid w:val="000D1905"/>
    <w:rsid w:val="000D1A50"/>
    <w:rsid w:val="000D435E"/>
    <w:rsid w:val="000D57E9"/>
    <w:rsid w:val="000D69BC"/>
    <w:rsid w:val="000D6DAD"/>
    <w:rsid w:val="000E61A2"/>
    <w:rsid w:val="000F088C"/>
    <w:rsid w:val="000F0A1F"/>
    <w:rsid w:val="000F1ADA"/>
    <w:rsid w:val="000F2ACB"/>
    <w:rsid w:val="000F38D9"/>
    <w:rsid w:val="000F6467"/>
    <w:rsid w:val="000F699F"/>
    <w:rsid w:val="000F7AB9"/>
    <w:rsid w:val="00102938"/>
    <w:rsid w:val="0010343C"/>
    <w:rsid w:val="00105AD4"/>
    <w:rsid w:val="00107B4F"/>
    <w:rsid w:val="00112E5C"/>
    <w:rsid w:val="001176D2"/>
    <w:rsid w:val="00121C9F"/>
    <w:rsid w:val="00124ED6"/>
    <w:rsid w:val="00126D29"/>
    <w:rsid w:val="00132E5C"/>
    <w:rsid w:val="001348A3"/>
    <w:rsid w:val="00142E29"/>
    <w:rsid w:val="001459A6"/>
    <w:rsid w:val="0015077F"/>
    <w:rsid w:val="00152B28"/>
    <w:rsid w:val="001545E1"/>
    <w:rsid w:val="00155446"/>
    <w:rsid w:val="00163658"/>
    <w:rsid w:val="00166738"/>
    <w:rsid w:val="00167976"/>
    <w:rsid w:val="00170743"/>
    <w:rsid w:val="00170B7A"/>
    <w:rsid w:val="0017260C"/>
    <w:rsid w:val="001742A8"/>
    <w:rsid w:val="001750B5"/>
    <w:rsid w:val="001807C0"/>
    <w:rsid w:val="00187298"/>
    <w:rsid w:val="0019007A"/>
    <w:rsid w:val="00191BE5"/>
    <w:rsid w:val="00193BFB"/>
    <w:rsid w:val="00195C9B"/>
    <w:rsid w:val="001A319D"/>
    <w:rsid w:val="001A52AA"/>
    <w:rsid w:val="001A5A21"/>
    <w:rsid w:val="001A6728"/>
    <w:rsid w:val="001A77CE"/>
    <w:rsid w:val="001A7E9C"/>
    <w:rsid w:val="001B5D51"/>
    <w:rsid w:val="001B667A"/>
    <w:rsid w:val="001B7362"/>
    <w:rsid w:val="001C12EF"/>
    <w:rsid w:val="001C1585"/>
    <w:rsid w:val="001C2729"/>
    <w:rsid w:val="001C6BA4"/>
    <w:rsid w:val="001D1D3C"/>
    <w:rsid w:val="001D2370"/>
    <w:rsid w:val="001D3108"/>
    <w:rsid w:val="001D4C2A"/>
    <w:rsid w:val="001E2B45"/>
    <w:rsid w:val="001F259A"/>
    <w:rsid w:val="001F4DE0"/>
    <w:rsid w:val="001F7BFF"/>
    <w:rsid w:val="002006BA"/>
    <w:rsid w:val="00205778"/>
    <w:rsid w:val="002122AF"/>
    <w:rsid w:val="0022617F"/>
    <w:rsid w:val="002264E4"/>
    <w:rsid w:val="00233A85"/>
    <w:rsid w:val="00234C5B"/>
    <w:rsid w:val="00234D29"/>
    <w:rsid w:val="00240E5A"/>
    <w:rsid w:val="00241197"/>
    <w:rsid w:val="002413C6"/>
    <w:rsid w:val="0024262F"/>
    <w:rsid w:val="0024688A"/>
    <w:rsid w:val="0025416A"/>
    <w:rsid w:val="00254B89"/>
    <w:rsid w:val="002552D4"/>
    <w:rsid w:val="00262506"/>
    <w:rsid w:val="00263264"/>
    <w:rsid w:val="00263A7B"/>
    <w:rsid w:val="00281B4A"/>
    <w:rsid w:val="0028201C"/>
    <w:rsid w:val="0028383A"/>
    <w:rsid w:val="00284498"/>
    <w:rsid w:val="00284F57"/>
    <w:rsid w:val="002858DB"/>
    <w:rsid w:val="00285EDD"/>
    <w:rsid w:val="002870E1"/>
    <w:rsid w:val="00290A7A"/>
    <w:rsid w:val="002911D5"/>
    <w:rsid w:val="002935F7"/>
    <w:rsid w:val="0029383A"/>
    <w:rsid w:val="002945BC"/>
    <w:rsid w:val="002977BC"/>
    <w:rsid w:val="002978F1"/>
    <w:rsid w:val="002A03B3"/>
    <w:rsid w:val="002A17FE"/>
    <w:rsid w:val="002B1AA1"/>
    <w:rsid w:val="002B25E6"/>
    <w:rsid w:val="002B3A27"/>
    <w:rsid w:val="002C4BB1"/>
    <w:rsid w:val="002C553E"/>
    <w:rsid w:val="002C7D51"/>
    <w:rsid w:val="002D51FE"/>
    <w:rsid w:val="002D5A35"/>
    <w:rsid w:val="002D660E"/>
    <w:rsid w:val="002D6E61"/>
    <w:rsid w:val="002D7AEC"/>
    <w:rsid w:val="002E08CA"/>
    <w:rsid w:val="002E1631"/>
    <w:rsid w:val="002E4BE8"/>
    <w:rsid w:val="002E625A"/>
    <w:rsid w:val="002E6DCE"/>
    <w:rsid w:val="003007F1"/>
    <w:rsid w:val="00305160"/>
    <w:rsid w:val="003073AD"/>
    <w:rsid w:val="00307FC2"/>
    <w:rsid w:val="0031135B"/>
    <w:rsid w:val="00311B82"/>
    <w:rsid w:val="00311D90"/>
    <w:rsid w:val="00311E7C"/>
    <w:rsid w:val="003143BF"/>
    <w:rsid w:val="0032311E"/>
    <w:rsid w:val="0032422E"/>
    <w:rsid w:val="00332B48"/>
    <w:rsid w:val="003337ED"/>
    <w:rsid w:val="00336F6C"/>
    <w:rsid w:val="00340AEE"/>
    <w:rsid w:val="00342831"/>
    <w:rsid w:val="00344E63"/>
    <w:rsid w:val="003470FB"/>
    <w:rsid w:val="00355D59"/>
    <w:rsid w:val="00356937"/>
    <w:rsid w:val="003605D8"/>
    <w:rsid w:val="00366ED0"/>
    <w:rsid w:val="003674B3"/>
    <w:rsid w:val="00367DB0"/>
    <w:rsid w:val="00373CEE"/>
    <w:rsid w:val="00380CAC"/>
    <w:rsid w:val="00383E1D"/>
    <w:rsid w:val="0039000B"/>
    <w:rsid w:val="003939E8"/>
    <w:rsid w:val="003A5654"/>
    <w:rsid w:val="003B06C1"/>
    <w:rsid w:val="003B2F91"/>
    <w:rsid w:val="003C1B61"/>
    <w:rsid w:val="003C4B8B"/>
    <w:rsid w:val="003C7C1E"/>
    <w:rsid w:val="003D1198"/>
    <w:rsid w:val="003D1A24"/>
    <w:rsid w:val="003D49E8"/>
    <w:rsid w:val="003D5113"/>
    <w:rsid w:val="003D7BEE"/>
    <w:rsid w:val="003E0BE6"/>
    <w:rsid w:val="003E281E"/>
    <w:rsid w:val="003F064D"/>
    <w:rsid w:val="003F1604"/>
    <w:rsid w:val="003F1B7C"/>
    <w:rsid w:val="003F2265"/>
    <w:rsid w:val="003F2D0F"/>
    <w:rsid w:val="003F35CA"/>
    <w:rsid w:val="003F3F08"/>
    <w:rsid w:val="003F6832"/>
    <w:rsid w:val="003F70C8"/>
    <w:rsid w:val="003F77C8"/>
    <w:rsid w:val="004008E1"/>
    <w:rsid w:val="00402D50"/>
    <w:rsid w:val="004039B4"/>
    <w:rsid w:val="0040481F"/>
    <w:rsid w:val="00417BD3"/>
    <w:rsid w:val="00420B5F"/>
    <w:rsid w:val="00420F3A"/>
    <w:rsid w:val="004232E5"/>
    <w:rsid w:val="00423B95"/>
    <w:rsid w:val="004257D9"/>
    <w:rsid w:val="00430145"/>
    <w:rsid w:val="004311CB"/>
    <w:rsid w:val="00432329"/>
    <w:rsid w:val="004326AA"/>
    <w:rsid w:val="00432A28"/>
    <w:rsid w:val="00433A00"/>
    <w:rsid w:val="004344F2"/>
    <w:rsid w:val="004408FF"/>
    <w:rsid w:val="00442F41"/>
    <w:rsid w:val="00443888"/>
    <w:rsid w:val="00445CE9"/>
    <w:rsid w:val="00447CB5"/>
    <w:rsid w:val="004505CA"/>
    <w:rsid w:val="004505D9"/>
    <w:rsid w:val="004531E1"/>
    <w:rsid w:val="004539D1"/>
    <w:rsid w:val="00454BFE"/>
    <w:rsid w:val="00456181"/>
    <w:rsid w:val="004635C2"/>
    <w:rsid w:val="00463FFB"/>
    <w:rsid w:val="0046567B"/>
    <w:rsid w:val="00465A59"/>
    <w:rsid w:val="004702C6"/>
    <w:rsid w:val="00472E86"/>
    <w:rsid w:val="0047509A"/>
    <w:rsid w:val="00477A30"/>
    <w:rsid w:val="00477C66"/>
    <w:rsid w:val="00481514"/>
    <w:rsid w:val="00482FA7"/>
    <w:rsid w:val="00492CA5"/>
    <w:rsid w:val="004A1880"/>
    <w:rsid w:val="004A25C9"/>
    <w:rsid w:val="004A3327"/>
    <w:rsid w:val="004A5534"/>
    <w:rsid w:val="004A6DC6"/>
    <w:rsid w:val="004B1C4A"/>
    <w:rsid w:val="004B1FAD"/>
    <w:rsid w:val="004B3F3B"/>
    <w:rsid w:val="004B4A29"/>
    <w:rsid w:val="004B56BB"/>
    <w:rsid w:val="004B6CE1"/>
    <w:rsid w:val="004C2985"/>
    <w:rsid w:val="004C41BF"/>
    <w:rsid w:val="004C462F"/>
    <w:rsid w:val="004C4944"/>
    <w:rsid w:val="004D4819"/>
    <w:rsid w:val="004D4BC1"/>
    <w:rsid w:val="004D768F"/>
    <w:rsid w:val="004E0563"/>
    <w:rsid w:val="004E2D8A"/>
    <w:rsid w:val="004E3029"/>
    <w:rsid w:val="004E3BE5"/>
    <w:rsid w:val="004E3DEE"/>
    <w:rsid w:val="004F0B12"/>
    <w:rsid w:val="004F428A"/>
    <w:rsid w:val="004F541E"/>
    <w:rsid w:val="004F5913"/>
    <w:rsid w:val="004F69E4"/>
    <w:rsid w:val="00501751"/>
    <w:rsid w:val="00503D33"/>
    <w:rsid w:val="00505DAB"/>
    <w:rsid w:val="00511DE4"/>
    <w:rsid w:val="00512DD2"/>
    <w:rsid w:val="00513B60"/>
    <w:rsid w:val="00514E3D"/>
    <w:rsid w:val="00524E2C"/>
    <w:rsid w:val="00531E01"/>
    <w:rsid w:val="0053395A"/>
    <w:rsid w:val="00534D39"/>
    <w:rsid w:val="00537AE0"/>
    <w:rsid w:val="0054179C"/>
    <w:rsid w:val="00541BC5"/>
    <w:rsid w:val="00544187"/>
    <w:rsid w:val="005457E5"/>
    <w:rsid w:val="00547C25"/>
    <w:rsid w:val="00551F56"/>
    <w:rsid w:val="005524BA"/>
    <w:rsid w:val="005532D2"/>
    <w:rsid w:val="00555361"/>
    <w:rsid w:val="005600CA"/>
    <w:rsid w:val="00560E2C"/>
    <w:rsid w:val="00561203"/>
    <w:rsid w:val="00563D6B"/>
    <w:rsid w:val="00564B90"/>
    <w:rsid w:val="0056546A"/>
    <w:rsid w:val="00567545"/>
    <w:rsid w:val="00570837"/>
    <w:rsid w:val="00570EF7"/>
    <w:rsid w:val="005724A9"/>
    <w:rsid w:val="005734E5"/>
    <w:rsid w:val="005757A9"/>
    <w:rsid w:val="005765D9"/>
    <w:rsid w:val="00581208"/>
    <w:rsid w:val="0058178F"/>
    <w:rsid w:val="0058306C"/>
    <w:rsid w:val="005839F0"/>
    <w:rsid w:val="005849DF"/>
    <w:rsid w:val="00584FF4"/>
    <w:rsid w:val="005903AF"/>
    <w:rsid w:val="005949D8"/>
    <w:rsid w:val="005A05B4"/>
    <w:rsid w:val="005A0BC9"/>
    <w:rsid w:val="005A354B"/>
    <w:rsid w:val="005A38D7"/>
    <w:rsid w:val="005A3D6C"/>
    <w:rsid w:val="005A7C45"/>
    <w:rsid w:val="005B258C"/>
    <w:rsid w:val="005B2A8C"/>
    <w:rsid w:val="005B2D4D"/>
    <w:rsid w:val="005B5109"/>
    <w:rsid w:val="005B5641"/>
    <w:rsid w:val="005C1821"/>
    <w:rsid w:val="005C1A8C"/>
    <w:rsid w:val="005C2AF0"/>
    <w:rsid w:val="005C3689"/>
    <w:rsid w:val="005C3764"/>
    <w:rsid w:val="005C7885"/>
    <w:rsid w:val="005D1F9C"/>
    <w:rsid w:val="005D1FEE"/>
    <w:rsid w:val="005D4E4F"/>
    <w:rsid w:val="005D6376"/>
    <w:rsid w:val="005D73F7"/>
    <w:rsid w:val="005D7889"/>
    <w:rsid w:val="005D7F71"/>
    <w:rsid w:val="005E164D"/>
    <w:rsid w:val="005E5FC1"/>
    <w:rsid w:val="005F0FC9"/>
    <w:rsid w:val="005F5DAF"/>
    <w:rsid w:val="005F719A"/>
    <w:rsid w:val="005F7F28"/>
    <w:rsid w:val="006005FD"/>
    <w:rsid w:val="00600897"/>
    <w:rsid w:val="00600B86"/>
    <w:rsid w:val="00600BFC"/>
    <w:rsid w:val="00602D63"/>
    <w:rsid w:val="00603BF7"/>
    <w:rsid w:val="00606894"/>
    <w:rsid w:val="00607EA6"/>
    <w:rsid w:val="00610DC4"/>
    <w:rsid w:val="00613A79"/>
    <w:rsid w:val="006150D6"/>
    <w:rsid w:val="00616F69"/>
    <w:rsid w:val="00622FC6"/>
    <w:rsid w:val="00624E06"/>
    <w:rsid w:val="00624ED4"/>
    <w:rsid w:val="00625EC7"/>
    <w:rsid w:val="0062661A"/>
    <w:rsid w:val="00626782"/>
    <w:rsid w:val="006303B6"/>
    <w:rsid w:val="00630692"/>
    <w:rsid w:val="006320C9"/>
    <w:rsid w:val="00632DC1"/>
    <w:rsid w:val="0063305B"/>
    <w:rsid w:val="00636342"/>
    <w:rsid w:val="00637E0F"/>
    <w:rsid w:val="00640995"/>
    <w:rsid w:val="00641692"/>
    <w:rsid w:val="006426BA"/>
    <w:rsid w:val="00642E74"/>
    <w:rsid w:val="006461F1"/>
    <w:rsid w:val="006471C1"/>
    <w:rsid w:val="0065228D"/>
    <w:rsid w:val="006565EC"/>
    <w:rsid w:val="00656890"/>
    <w:rsid w:val="0066248B"/>
    <w:rsid w:val="0066671E"/>
    <w:rsid w:val="00670D84"/>
    <w:rsid w:val="00676F3A"/>
    <w:rsid w:val="00681E99"/>
    <w:rsid w:val="0068430A"/>
    <w:rsid w:val="00684809"/>
    <w:rsid w:val="006854BA"/>
    <w:rsid w:val="00690251"/>
    <w:rsid w:val="00696872"/>
    <w:rsid w:val="006A145D"/>
    <w:rsid w:val="006A1F92"/>
    <w:rsid w:val="006A26C5"/>
    <w:rsid w:val="006A3A45"/>
    <w:rsid w:val="006A3C8C"/>
    <w:rsid w:val="006A4697"/>
    <w:rsid w:val="006B5471"/>
    <w:rsid w:val="006C0793"/>
    <w:rsid w:val="006C42AF"/>
    <w:rsid w:val="006C45C7"/>
    <w:rsid w:val="006C714B"/>
    <w:rsid w:val="006D0586"/>
    <w:rsid w:val="006D6F4B"/>
    <w:rsid w:val="006E395E"/>
    <w:rsid w:val="006F020B"/>
    <w:rsid w:val="006F1C55"/>
    <w:rsid w:val="006F3997"/>
    <w:rsid w:val="006F54A1"/>
    <w:rsid w:val="006F79F4"/>
    <w:rsid w:val="0070025A"/>
    <w:rsid w:val="00700E3C"/>
    <w:rsid w:val="007014E8"/>
    <w:rsid w:val="00703658"/>
    <w:rsid w:val="00721FC6"/>
    <w:rsid w:val="0072399F"/>
    <w:rsid w:val="00724149"/>
    <w:rsid w:val="00724899"/>
    <w:rsid w:val="00725F82"/>
    <w:rsid w:val="007268D1"/>
    <w:rsid w:val="00727271"/>
    <w:rsid w:val="00727F29"/>
    <w:rsid w:val="00732599"/>
    <w:rsid w:val="00737A44"/>
    <w:rsid w:val="0074186D"/>
    <w:rsid w:val="007470AB"/>
    <w:rsid w:val="007607B2"/>
    <w:rsid w:val="007610B8"/>
    <w:rsid w:val="00765FE6"/>
    <w:rsid w:val="0076649B"/>
    <w:rsid w:val="007677CE"/>
    <w:rsid w:val="00782C70"/>
    <w:rsid w:val="00790AA7"/>
    <w:rsid w:val="00790B4A"/>
    <w:rsid w:val="00790DFF"/>
    <w:rsid w:val="007A126B"/>
    <w:rsid w:val="007A597B"/>
    <w:rsid w:val="007A5BD4"/>
    <w:rsid w:val="007A633C"/>
    <w:rsid w:val="007B33AF"/>
    <w:rsid w:val="007B42A3"/>
    <w:rsid w:val="007B63AE"/>
    <w:rsid w:val="007B6F45"/>
    <w:rsid w:val="007C2A6D"/>
    <w:rsid w:val="007C7C98"/>
    <w:rsid w:val="007D0406"/>
    <w:rsid w:val="007E2A22"/>
    <w:rsid w:val="007F2E1F"/>
    <w:rsid w:val="007F2E72"/>
    <w:rsid w:val="007F4D29"/>
    <w:rsid w:val="008014CB"/>
    <w:rsid w:val="00803B26"/>
    <w:rsid w:val="00804AD8"/>
    <w:rsid w:val="00804B07"/>
    <w:rsid w:val="0080630C"/>
    <w:rsid w:val="008076C8"/>
    <w:rsid w:val="00813E6D"/>
    <w:rsid w:val="0081581E"/>
    <w:rsid w:val="00822C0E"/>
    <w:rsid w:val="00822CA0"/>
    <w:rsid w:val="008253B2"/>
    <w:rsid w:val="008255D9"/>
    <w:rsid w:val="00830172"/>
    <w:rsid w:val="008313FE"/>
    <w:rsid w:val="008314CD"/>
    <w:rsid w:val="00831837"/>
    <w:rsid w:val="00834065"/>
    <w:rsid w:val="0084398E"/>
    <w:rsid w:val="00847676"/>
    <w:rsid w:val="00851C24"/>
    <w:rsid w:val="008530AE"/>
    <w:rsid w:val="00853A55"/>
    <w:rsid w:val="00863186"/>
    <w:rsid w:val="008641D2"/>
    <w:rsid w:val="00866889"/>
    <w:rsid w:val="008677E9"/>
    <w:rsid w:val="00870730"/>
    <w:rsid w:val="0087206C"/>
    <w:rsid w:val="00876002"/>
    <w:rsid w:val="0087622E"/>
    <w:rsid w:val="0088141A"/>
    <w:rsid w:val="00881FFE"/>
    <w:rsid w:val="0088273E"/>
    <w:rsid w:val="00882B4C"/>
    <w:rsid w:val="008839DA"/>
    <w:rsid w:val="00884DD1"/>
    <w:rsid w:val="00885921"/>
    <w:rsid w:val="00890D4A"/>
    <w:rsid w:val="00891D92"/>
    <w:rsid w:val="00891FAF"/>
    <w:rsid w:val="0089464A"/>
    <w:rsid w:val="00894EFC"/>
    <w:rsid w:val="00895BDD"/>
    <w:rsid w:val="008A3A0B"/>
    <w:rsid w:val="008A75EF"/>
    <w:rsid w:val="008B07A6"/>
    <w:rsid w:val="008B0B37"/>
    <w:rsid w:val="008B3824"/>
    <w:rsid w:val="008B42D7"/>
    <w:rsid w:val="008B48EE"/>
    <w:rsid w:val="008B64F1"/>
    <w:rsid w:val="008B7FF0"/>
    <w:rsid w:val="008C1A14"/>
    <w:rsid w:val="008C1AB6"/>
    <w:rsid w:val="008C2386"/>
    <w:rsid w:val="008C535D"/>
    <w:rsid w:val="008D4168"/>
    <w:rsid w:val="008D5F0A"/>
    <w:rsid w:val="008E2771"/>
    <w:rsid w:val="008E3134"/>
    <w:rsid w:val="008E3FD4"/>
    <w:rsid w:val="008E4B91"/>
    <w:rsid w:val="008E5664"/>
    <w:rsid w:val="008E6124"/>
    <w:rsid w:val="008F0D4C"/>
    <w:rsid w:val="008F10AF"/>
    <w:rsid w:val="008F5003"/>
    <w:rsid w:val="008F58DF"/>
    <w:rsid w:val="008F5C14"/>
    <w:rsid w:val="008F6D48"/>
    <w:rsid w:val="009014A2"/>
    <w:rsid w:val="00901E14"/>
    <w:rsid w:val="0090473B"/>
    <w:rsid w:val="00910C5F"/>
    <w:rsid w:val="0091135B"/>
    <w:rsid w:val="00913D3D"/>
    <w:rsid w:val="00916F21"/>
    <w:rsid w:val="009235FE"/>
    <w:rsid w:val="00923F7D"/>
    <w:rsid w:val="0092555F"/>
    <w:rsid w:val="00930659"/>
    <w:rsid w:val="00935448"/>
    <w:rsid w:val="0096540A"/>
    <w:rsid w:val="00967A26"/>
    <w:rsid w:val="009724AA"/>
    <w:rsid w:val="00974138"/>
    <w:rsid w:val="00974F53"/>
    <w:rsid w:val="009761BD"/>
    <w:rsid w:val="00981830"/>
    <w:rsid w:val="009834B1"/>
    <w:rsid w:val="009850E2"/>
    <w:rsid w:val="0099317E"/>
    <w:rsid w:val="009A5CAC"/>
    <w:rsid w:val="009B0888"/>
    <w:rsid w:val="009B448A"/>
    <w:rsid w:val="009C1B55"/>
    <w:rsid w:val="009C1DE4"/>
    <w:rsid w:val="009C2987"/>
    <w:rsid w:val="009C3A48"/>
    <w:rsid w:val="009C5538"/>
    <w:rsid w:val="009D0C7E"/>
    <w:rsid w:val="009D15C6"/>
    <w:rsid w:val="009D3C64"/>
    <w:rsid w:val="009D3E3F"/>
    <w:rsid w:val="009D4B96"/>
    <w:rsid w:val="009D65FE"/>
    <w:rsid w:val="009D6D83"/>
    <w:rsid w:val="009E1FCD"/>
    <w:rsid w:val="009E2419"/>
    <w:rsid w:val="009E3D98"/>
    <w:rsid w:val="009E43B8"/>
    <w:rsid w:val="009E59A0"/>
    <w:rsid w:val="009F1541"/>
    <w:rsid w:val="009F2203"/>
    <w:rsid w:val="009F4653"/>
    <w:rsid w:val="009F5239"/>
    <w:rsid w:val="00A00913"/>
    <w:rsid w:val="00A03351"/>
    <w:rsid w:val="00A0535F"/>
    <w:rsid w:val="00A067C9"/>
    <w:rsid w:val="00A0715C"/>
    <w:rsid w:val="00A112A2"/>
    <w:rsid w:val="00A1148E"/>
    <w:rsid w:val="00A11652"/>
    <w:rsid w:val="00A11DF3"/>
    <w:rsid w:val="00A139FC"/>
    <w:rsid w:val="00A14EDD"/>
    <w:rsid w:val="00A16D7E"/>
    <w:rsid w:val="00A2102D"/>
    <w:rsid w:val="00A22A06"/>
    <w:rsid w:val="00A2339C"/>
    <w:rsid w:val="00A2747E"/>
    <w:rsid w:val="00A313B8"/>
    <w:rsid w:val="00A32483"/>
    <w:rsid w:val="00A327B6"/>
    <w:rsid w:val="00A40FA4"/>
    <w:rsid w:val="00A42068"/>
    <w:rsid w:val="00A43B52"/>
    <w:rsid w:val="00A444AC"/>
    <w:rsid w:val="00A44AF7"/>
    <w:rsid w:val="00A50EA3"/>
    <w:rsid w:val="00A51E43"/>
    <w:rsid w:val="00A60CEF"/>
    <w:rsid w:val="00A61EAC"/>
    <w:rsid w:val="00A62D3D"/>
    <w:rsid w:val="00A6328C"/>
    <w:rsid w:val="00A6436B"/>
    <w:rsid w:val="00A65340"/>
    <w:rsid w:val="00A716D7"/>
    <w:rsid w:val="00A739E1"/>
    <w:rsid w:val="00A761CF"/>
    <w:rsid w:val="00A77140"/>
    <w:rsid w:val="00A77742"/>
    <w:rsid w:val="00A80321"/>
    <w:rsid w:val="00A821CC"/>
    <w:rsid w:val="00A8687E"/>
    <w:rsid w:val="00A903BE"/>
    <w:rsid w:val="00A910F5"/>
    <w:rsid w:val="00A945ED"/>
    <w:rsid w:val="00A957A6"/>
    <w:rsid w:val="00AA1EFD"/>
    <w:rsid w:val="00AA629B"/>
    <w:rsid w:val="00AB0615"/>
    <w:rsid w:val="00AB0B9E"/>
    <w:rsid w:val="00AB0D10"/>
    <w:rsid w:val="00AB28FA"/>
    <w:rsid w:val="00AB5EA6"/>
    <w:rsid w:val="00AB6891"/>
    <w:rsid w:val="00AC0C79"/>
    <w:rsid w:val="00AC3D56"/>
    <w:rsid w:val="00AC5948"/>
    <w:rsid w:val="00AD00A2"/>
    <w:rsid w:val="00AD0FD0"/>
    <w:rsid w:val="00AD5313"/>
    <w:rsid w:val="00AD6E72"/>
    <w:rsid w:val="00AE0742"/>
    <w:rsid w:val="00AE0B0D"/>
    <w:rsid w:val="00AE1942"/>
    <w:rsid w:val="00AE25F5"/>
    <w:rsid w:val="00AE4711"/>
    <w:rsid w:val="00AE582C"/>
    <w:rsid w:val="00AE74E5"/>
    <w:rsid w:val="00AF2690"/>
    <w:rsid w:val="00AF2781"/>
    <w:rsid w:val="00AF73AB"/>
    <w:rsid w:val="00AF7FEE"/>
    <w:rsid w:val="00B004EB"/>
    <w:rsid w:val="00B075EF"/>
    <w:rsid w:val="00B106AD"/>
    <w:rsid w:val="00B107E3"/>
    <w:rsid w:val="00B119E5"/>
    <w:rsid w:val="00B13EFB"/>
    <w:rsid w:val="00B15E62"/>
    <w:rsid w:val="00B21888"/>
    <w:rsid w:val="00B229F0"/>
    <w:rsid w:val="00B24280"/>
    <w:rsid w:val="00B2676A"/>
    <w:rsid w:val="00B27ABD"/>
    <w:rsid w:val="00B33087"/>
    <w:rsid w:val="00B34AAD"/>
    <w:rsid w:val="00B4276C"/>
    <w:rsid w:val="00B51519"/>
    <w:rsid w:val="00B578DC"/>
    <w:rsid w:val="00B61CD3"/>
    <w:rsid w:val="00B66AED"/>
    <w:rsid w:val="00B66B28"/>
    <w:rsid w:val="00B74A22"/>
    <w:rsid w:val="00B75E56"/>
    <w:rsid w:val="00B81D27"/>
    <w:rsid w:val="00B82EC7"/>
    <w:rsid w:val="00B8327D"/>
    <w:rsid w:val="00B84FFE"/>
    <w:rsid w:val="00B856A1"/>
    <w:rsid w:val="00B87D0A"/>
    <w:rsid w:val="00B93E9E"/>
    <w:rsid w:val="00B96745"/>
    <w:rsid w:val="00B96AD6"/>
    <w:rsid w:val="00B972D2"/>
    <w:rsid w:val="00BA4243"/>
    <w:rsid w:val="00BA78D1"/>
    <w:rsid w:val="00BB5B33"/>
    <w:rsid w:val="00BC037E"/>
    <w:rsid w:val="00BC17A2"/>
    <w:rsid w:val="00BC3DA0"/>
    <w:rsid w:val="00BC3DE0"/>
    <w:rsid w:val="00BC4D5C"/>
    <w:rsid w:val="00BD2645"/>
    <w:rsid w:val="00BD7387"/>
    <w:rsid w:val="00BD7F22"/>
    <w:rsid w:val="00BE2CDF"/>
    <w:rsid w:val="00BE5FC2"/>
    <w:rsid w:val="00BE6881"/>
    <w:rsid w:val="00BE6CD8"/>
    <w:rsid w:val="00BF24AB"/>
    <w:rsid w:val="00BF351C"/>
    <w:rsid w:val="00C001BD"/>
    <w:rsid w:val="00C01538"/>
    <w:rsid w:val="00C057F7"/>
    <w:rsid w:val="00C12D00"/>
    <w:rsid w:val="00C14D52"/>
    <w:rsid w:val="00C155F8"/>
    <w:rsid w:val="00C201FC"/>
    <w:rsid w:val="00C212E3"/>
    <w:rsid w:val="00C21AFA"/>
    <w:rsid w:val="00C24DB4"/>
    <w:rsid w:val="00C26A76"/>
    <w:rsid w:val="00C26F25"/>
    <w:rsid w:val="00C27FBD"/>
    <w:rsid w:val="00C33605"/>
    <w:rsid w:val="00C33AA1"/>
    <w:rsid w:val="00C375F4"/>
    <w:rsid w:val="00C44899"/>
    <w:rsid w:val="00C46849"/>
    <w:rsid w:val="00C52ACC"/>
    <w:rsid w:val="00C52DC9"/>
    <w:rsid w:val="00C53AE1"/>
    <w:rsid w:val="00C57109"/>
    <w:rsid w:val="00C600BA"/>
    <w:rsid w:val="00C67211"/>
    <w:rsid w:val="00C7038D"/>
    <w:rsid w:val="00C707CC"/>
    <w:rsid w:val="00C70C7D"/>
    <w:rsid w:val="00C77C00"/>
    <w:rsid w:val="00C8133D"/>
    <w:rsid w:val="00C82159"/>
    <w:rsid w:val="00C82D9B"/>
    <w:rsid w:val="00C87FC3"/>
    <w:rsid w:val="00C9004E"/>
    <w:rsid w:val="00C903EA"/>
    <w:rsid w:val="00C93CA8"/>
    <w:rsid w:val="00C94C5B"/>
    <w:rsid w:val="00C96A01"/>
    <w:rsid w:val="00CA17CF"/>
    <w:rsid w:val="00CA1A62"/>
    <w:rsid w:val="00CA22C8"/>
    <w:rsid w:val="00CA2E5B"/>
    <w:rsid w:val="00CA505F"/>
    <w:rsid w:val="00CB0C28"/>
    <w:rsid w:val="00CB0C35"/>
    <w:rsid w:val="00CB2DF5"/>
    <w:rsid w:val="00CB43CE"/>
    <w:rsid w:val="00CC262A"/>
    <w:rsid w:val="00CC7F1F"/>
    <w:rsid w:val="00CD0F6C"/>
    <w:rsid w:val="00CD4C69"/>
    <w:rsid w:val="00CD7DDB"/>
    <w:rsid w:val="00CE1F23"/>
    <w:rsid w:val="00CE3A8D"/>
    <w:rsid w:val="00CF0F92"/>
    <w:rsid w:val="00CF193A"/>
    <w:rsid w:val="00CF34F8"/>
    <w:rsid w:val="00CF6068"/>
    <w:rsid w:val="00D0267F"/>
    <w:rsid w:val="00D03027"/>
    <w:rsid w:val="00D03E1C"/>
    <w:rsid w:val="00D04CB5"/>
    <w:rsid w:val="00D05A37"/>
    <w:rsid w:val="00D11CBE"/>
    <w:rsid w:val="00D16936"/>
    <w:rsid w:val="00D16CA6"/>
    <w:rsid w:val="00D17E28"/>
    <w:rsid w:val="00D17FC3"/>
    <w:rsid w:val="00D20F9C"/>
    <w:rsid w:val="00D231DA"/>
    <w:rsid w:val="00D256FA"/>
    <w:rsid w:val="00D27F05"/>
    <w:rsid w:val="00D33638"/>
    <w:rsid w:val="00D34871"/>
    <w:rsid w:val="00D40DC5"/>
    <w:rsid w:val="00D422A3"/>
    <w:rsid w:val="00D464B7"/>
    <w:rsid w:val="00D465BC"/>
    <w:rsid w:val="00D46742"/>
    <w:rsid w:val="00D470EB"/>
    <w:rsid w:val="00D47FCF"/>
    <w:rsid w:val="00D5131C"/>
    <w:rsid w:val="00D51E55"/>
    <w:rsid w:val="00D537EF"/>
    <w:rsid w:val="00D60065"/>
    <w:rsid w:val="00D64919"/>
    <w:rsid w:val="00D73998"/>
    <w:rsid w:val="00D770B7"/>
    <w:rsid w:val="00D7761D"/>
    <w:rsid w:val="00D808DF"/>
    <w:rsid w:val="00D835CC"/>
    <w:rsid w:val="00D85525"/>
    <w:rsid w:val="00D85D46"/>
    <w:rsid w:val="00D8619E"/>
    <w:rsid w:val="00D86327"/>
    <w:rsid w:val="00D86917"/>
    <w:rsid w:val="00D87072"/>
    <w:rsid w:val="00D874B4"/>
    <w:rsid w:val="00D9156D"/>
    <w:rsid w:val="00D963B6"/>
    <w:rsid w:val="00DA48D7"/>
    <w:rsid w:val="00DA4B56"/>
    <w:rsid w:val="00DA7AB6"/>
    <w:rsid w:val="00DB39FE"/>
    <w:rsid w:val="00DB7295"/>
    <w:rsid w:val="00DB7D7B"/>
    <w:rsid w:val="00DC492F"/>
    <w:rsid w:val="00DC53D0"/>
    <w:rsid w:val="00DC540F"/>
    <w:rsid w:val="00DD0DFA"/>
    <w:rsid w:val="00DD7695"/>
    <w:rsid w:val="00DD77AA"/>
    <w:rsid w:val="00DE4A26"/>
    <w:rsid w:val="00DE7D69"/>
    <w:rsid w:val="00DF1EBD"/>
    <w:rsid w:val="00DF614B"/>
    <w:rsid w:val="00E006C1"/>
    <w:rsid w:val="00E01554"/>
    <w:rsid w:val="00E0571B"/>
    <w:rsid w:val="00E06443"/>
    <w:rsid w:val="00E10263"/>
    <w:rsid w:val="00E10CEC"/>
    <w:rsid w:val="00E123FE"/>
    <w:rsid w:val="00E3187C"/>
    <w:rsid w:val="00E31DDB"/>
    <w:rsid w:val="00E34EBE"/>
    <w:rsid w:val="00E403F0"/>
    <w:rsid w:val="00E458B3"/>
    <w:rsid w:val="00E473DB"/>
    <w:rsid w:val="00E50E57"/>
    <w:rsid w:val="00E51AEE"/>
    <w:rsid w:val="00E51F5C"/>
    <w:rsid w:val="00E567E5"/>
    <w:rsid w:val="00E57252"/>
    <w:rsid w:val="00E63E83"/>
    <w:rsid w:val="00E71B9A"/>
    <w:rsid w:val="00E72DC8"/>
    <w:rsid w:val="00E73A66"/>
    <w:rsid w:val="00E73BE9"/>
    <w:rsid w:val="00E76AFF"/>
    <w:rsid w:val="00E77CB0"/>
    <w:rsid w:val="00E82CB6"/>
    <w:rsid w:val="00E87B44"/>
    <w:rsid w:val="00E91B8F"/>
    <w:rsid w:val="00E93726"/>
    <w:rsid w:val="00EA0722"/>
    <w:rsid w:val="00EA6743"/>
    <w:rsid w:val="00EA7DD0"/>
    <w:rsid w:val="00EB07C3"/>
    <w:rsid w:val="00EB2D76"/>
    <w:rsid w:val="00EB2E1A"/>
    <w:rsid w:val="00EB33B4"/>
    <w:rsid w:val="00EB396C"/>
    <w:rsid w:val="00EB4968"/>
    <w:rsid w:val="00EC0F72"/>
    <w:rsid w:val="00EC138B"/>
    <w:rsid w:val="00EC43B5"/>
    <w:rsid w:val="00EC5868"/>
    <w:rsid w:val="00EC658A"/>
    <w:rsid w:val="00EC6A0C"/>
    <w:rsid w:val="00ED07AC"/>
    <w:rsid w:val="00ED094A"/>
    <w:rsid w:val="00ED14E9"/>
    <w:rsid w:val="00ED463B"/>
    <w:rsid w:val="00ED5AC7"/>
    <w:rsid w:val="00ED7404"/>
    <w:rsid w:val="00EE083C"/>
    <w:rsid w:val="00EE1754"/>
    <w:rsid w:val="00EE236B"/>
    <w:rsid w:val="00EE4D92"/>
    <w:rsid w:val="00EF10DC"/>
    <w:rsid w:val="00EF2ACB"/>
    <w:rsid w:val="00EF49D5"/>
    <w:rsid w:val="00EF4C78"/>
    <w:rsid w:val="00EF7436"/>
    <w:rsid w:val="00F0153B"/>
    <w:rsid w:val="00F02C05"/>
    <w:rsid w:val="00F037DF"/>
    <w:rsid w:val="00F07D6A"/>
    <w:rsid w:val="00F11061"/>
    <w:rsid w:val="00F14C36"/>
    <w:rsid w:val="00F16610"/>
    <w:rsid w:val="00F21620"/>
    <w:rsid w:val="00F313BC"/>
    <w:rsid w:val="00F33273"/>
    <w:rsid w:val="00F369A8"/>
    <w:rsid w:val="00F36E8A"/>
    <w:rsid w:val="00F37FEC"/>
    <w:rsid w:val="00F41EB3"/>
    <w:rsid w:val="00F42878"/>
    <w:rsid w:val="00F42A91"/>
    <w:rsid w:val="00F42B28"/>
    <w:rsid w:val="00F43FFB"/>
    <w:rsid w:val="00F51166"/>
    <w:rsid w:val="00F512B2"/>
    <w:rsid w:val="00F53338"/>
    <w:rsid w:val="00F5397E"/>
    <w:rsid w:val="00F61707"/>
    <w:rsid w:val="00F63D89"/>
    <w:rsid w:val="00F65B88"/>
    <w:rsid w:val="00F66390"/>
    <w:rsid w:val="00F70E91"/>
    <w:rsid w:val="00F73086"/>
    <w:rsid w:val="00F763EF"/>
    <w:rsid w:val="00F81E2F"/>
    <w:rsid w:val="00F83E6A"/>
    <w:rsid w:val="00F85CAC"/>
    <w:rsid w:val="00F874D7"/>
    <w:rsid w:val="00F9193B"/>
    <w:rsid w:val="00F932F8"/>
    <w:rsid w:val="00F93401"/>
    <w:rsid w:val="00F95DFC"/>
    <w:rsid w:val="00F971A2"/>
    <w:rsid w:val="00FA08C2"/>
    <w:rsid w:val="00FA2468"/>
    <w:rsid w:val="00FA2853"/>
    <w:rsid w:val="00FA54C3"/>
    <w:rsid w:val="00FB0067"/>
    <w:rsid w:val="00FB6BB9"/>
    <w:rsid w:val="00FC7F59"/>
    <w:rsid w:val="00FD2088"/>
    <w:rsid w:val="00FD427A"/>
    <w:rsid w:val="00FD4CF9"/>
    <w:rsid w:val="00FD6C26"/>
    <w:rsid w:val="00FE036D"/>
    <w:rsid w:val="00FE4F1B"/>
    <w:rsid w:val="00FE64E3"/>
    <w:rsid w:val="00FF1D9D"/>
    <w:rsid w:val="00FF61DF"/>
    <w:rsid w:val="00FF69ED"/>
    <w:rsid w:val="00FF7233"/>
    <w:rsid w:val="01204FE7"/>
    <w:rsid w:val="04BB721C"/>
    <w:rsid w:val="05DC600A"/>
    <w:rsid w:val="05E46539"/>
    <w:rsid w:val="063206D7"/>
    <w:rsid w:val="08AB76CD"/>
    <w:rsid w:val="0DD97000"/>
    <w:rsid w:val="11353101"/>
    <w:rsid w:val="11EE3698"/>
    <w:rsid w:val="12F274DA"/>
    <w:rsid w:val="1E2F2A30"/>
    <w:rsid w:val="20D83DD9"/>
    <w:rsid w:val="29A816D4"/>
    <w:rsid w:val="30043AAF"/>
    <w:rsid w:val="31313F89"/>
    <w:rsid w:val="3629746A"/>
    <w:rsid w:val="36DF13A7"/>
    <w:rsid w:val="37012E6D"/>
    <w:rsid w:val="397A0B55"/>
    <w:rsid w:val="3C134F1C"/>
    <w:rsid w:val="3F5575F7"/>
    <w:rsid w:val="40676F6D"/>
    <w:rsid w:val="4E03108A"/>
    <w:rsid w:val="513357E2"/>
    <w:rsid w:val="517D38BF"/>
    <w:rsid w:val="561A01AD"/>
    <w:rsid w:val="563C1895"/>
    <w:rsid w:val="5A0A185A"/>
    <w:rsid w:val="5A317606"/>
    <w:rsid w:val="667F2833"/>
    <w:rsid w:val="678B5C92"/>
    <w:rsid w:val="6BEC0D1C"/>
    <w:rsid w:val="71814B45"/>
    <w:rsid w:val="DFCFEB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2"/>
    <w:qFormat/>
    <w:uiPriority w:val="0"/>
    <w:pPr>
      <w:keepNext/>
      <w:keepLines/>
      <w:spacing w:before="120" w:after="120" w:line="360" w:lineRule="auto"/>
      <w:outlineLvl w:val="1"/>
    </w:pPr>
    <w:rPr>
      <w:rFonts w:ascii="黑体" w:eastAsia="黑体"/>
      <w:kern w:val="0"/>
      <w:sz w:val="30"/>
      <w:szCs w:val="20"/>
    </w:rPr>
  </w:style>
  <w:style w:type="character" w:default="1" w:styleId="10">
    <w:name w:val="Default Paragraph Font"/>
    <w:link w:val="11"/>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link w:val="13"/>
    <w:unhideWhenUsed/>
    <w:qFormat/>
    <w:uiPriority w:val="0"/>
    <w:pPr>
      <w:spacing w:line="360" w:lineRule="auto"/>
      <w:ind w:firstLine="482" w:firstLineChars="200"/>
    </w:pPr>
    <w:rPr>
      <w:b/>
      <w:bCs/>
      <w:kern w:val="0"/>
      <w:sz w:val="24"/>
      <w:szCs w:val="20"/>
    </w:rPr>
  </w:style>
  <w:style w:type="paragraph" w:styleId="4">
    <w:name w:val="Document Map"/>
    <w:basedOn w:val="1"/>
    <w:semiHidden/>
    <w:qFormat/>
    <w:uiPriority w:val="0"/>
    <w:pPr>
      <w:shd w:val="clear" w:color="auto" w:fill="000080"/>
    </w:pPr>
  </w:style>
  <w:style w:type="paragraph" w:styleId="5">
    <w:name w:val="Balloon Text"/>
    <w:basedOn w:val="1"/>
    <w:link w:val="14"/>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
    <w:basedOn w:val="1"/>
    <w:link w:val="10"/>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
    <w:name w:val="标题 2 Char"/>
    <w:link w:val="2"/>
    <w:qFormat/>
    <w:uiPriority w:val="0"/>
    <w:rPr>
      <w:rFonts w:ascii="黑体" w:eastAsia="黑体"/>
      <w:sz w:val="30"/>
    </w:rPr>
  </w:style>
  <w:style w:type="character" w:customStyle="1" w:styleId="13">
    <w:name w:val="正文缩进 Char"/>
    <w:link w:val="3"/>
    <w:qFormat/>
    <w:locked/>
    <w:uiPriority w:val="0"/>
    <w:rPr>
      <w:b/>
      <w:bCs/>
      <w:sz w:val="24"/>
    </w:rPr>
  </w:style>
  <w:style w:type="character" w:customStyle="1" w:styleId="14">
    <w:name w:val="批注框文本 Char"/>
    <w:link w:val="5"/>
    <w:qFormat/>
    <w:uiPriority w:val="0"/>
    <w:rPr>
      <w:kern w:val="2"/>
      <w:sz w:val="18"/>
      <w:szCs w:val="18"/>
    </w:rPr>
  </w:style>
  <w:style w:type="character" w:customStyle="1" w:styleId="15">
    <w:name w:val="页脚 Char"/>
    <w:link w:val="6"/>
    <w:qFormat/>
    <w:uiPriority w:val="0"/>
    <w:rPr>
      <w:kern w:val="2"/>
      <w:sz w:val="18"/>
      <w:szCs w:val="18"/>
    </w:rPr>
  </w:style>
  <w:style w:type="character" w:customStyle="1" w:styleId="16">
    <w:name w:val="页眉 Char"/>
    <w:link w:val="7"/>
    <w:qFormat/>
    <w:uiPriority w:val="0"/>
    <w:rPr>
      <w:kern w:val="2"/>
      <w:sz w:val="18"/>
      <w:szCs w:val="18"/>
    </w:rPr>
  </w:style>
  <w:style w:type="character" w:customStyle="1" w:styleId="17">
    <w:name w:val="公文正文 Char"/>
    <w:link w:val="18"/>
    <w:qFormat/>
    <w:uiPriority w:val="0"/>
    <w:rPr>
      <w:rFonts w:ascii="仿宋" w:hAnsi="仿宋" w:eastAsia="仿宋"/>
      <w:kern w:val="2"/>
      <w:sz w:val="32"/>
      <w:szCs w:val="32"/>
    </w:rPr>
  </w:style>
  <w:style w:type="paragraph" w:customStyle="1" w:styleId="18">
    <w:name w:val="公文正文"/>
    <w:basedOn w:val="1"/>
    <w:link w:val="17"/>
    <w:qFormat/>
    <w:uiPriority w:val="0"/>
    <w:pPr>
      <w:ind w:firstLine="640" w:firstLineChars="200"/>
    </w:pPr>
    <w:rPr>
      <w:rFonts w:ascii="仿宋" w:hAnsi="仿宋" w:eastAsia="仿宋"/>
      <w:sz w:val="32"/>
      <w:szCs w:val="32"/>
    </w:rPr>
  </w:style>
  <w:style w:type="paragraph" w:customStyle="1" w:styleId="19">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20">
    <w:name w:val="List Paragraph"/>
    <w:basedOn w:val="1"/>
    <w:qFormat/>
    <w:uiPriority w:val="34"/>
    <w:pPr>
      <w:ind w:firstLine="420" w:firstLineChars="200"/>
    </w:pPr>
    <w:rPr>
      <w:szCs w:val="20"/>
    </w:rPr>
  </w:style>
  <w:style w:type="paragraph" w:customStyle="1" w:styleId="21">
    <w:name w:val="Table Paragraph"/>
    <w:basedOn w:val="1"/>
    <w:qFormat/>
    <w:uiPriority w:val="0"/>
    <w:pPr>
      <w:autoSpaceDE w:val="0"/>
      <w:autoSpaceDN w:val="0"/>
      <w:adjustRightInd w:val="0"/>
      <w:jc w:val="left"/>
    </w:pPr>
    <w:rPr>
      <w:rFonts w:ascii="宋体" w:hAnsi="宋体" w:cs="宋体"/>
      <w:kern w:val="0"/>
      <w:sz w:val="24"/>
    </w:rPr>
  </w:style>
  <w:style w:type="paragraph" w:customStyle="1" w:styleId="22">
    <w:name w:val="正文1"/>
    <w:basedOn w:val="1"/>
    <w:qFormat/>
    <w:uiPriority w:val="0"/>
    <w:pPr>
      <w:tabs>
        <w:tab w:val="left" w:pos="4"/>
      </w:tabs>
      <w:spacing w:before="50" w:beforeLines="50" w:after="50" w:afterLines="50" w:line="360" w:lineRule="auto"/>
      <w:ind w:left="-2" w:firstLine="482" w:firstLineChars="200"/>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524</Words>
  <Characters>2991</Characters>
  <Lines>24</Lines>
  <Paragraphs>7</Paragraphs>
  <TotalTime>4</TotalTime>
  <ScaleCrop>false</ScaleCrop>
  <LinksUpToDate>false</LinksUpToDate>
  <CharactersWithSpaces>3508</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2019-06-25T15:01:00Z</dcterms:created>
  <dc:creator>贺文迪</dc:creator>
  <cp:lastModifiedBy>gm</cp:lastModifiedBy>
  <cp:lastPrinted>2024-07-03T20:25:00Z</cp:lastPrinted>
  <dcterms:modified xsi:type="dcterms:W3CDTF">2025-04-21T18:26:21Z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CEE21E685C63497D807F3A66D26BF180</vt:lpwstr>
  </property>
</Properties>
</file>