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Theme="majorEastAsia" w:hAnsiTheme="majorEastAsia" w:eastAsiaTheme="majorEastAsia"/>
          <w:b/>
          <w:bCs/>
          <w:sz w:val="44"/>
          <w:szCs w:val="44"/>
          <w:lang w:bidi="ar"/>
        </w:rPr>
      </w:pPr>
      <w:r>
        <w:rPr>
          <w:rFonts w:asciiTheme="majorEastAsia" w:hAnsiTheme="majorEastAsia" w:eastAsiaTheme="majorEastAsia"/>
          <w:b/>
          <w:bCs/>
          <w:sz w:val="44"/>
          <w:szCs w:val="44"/>
          <w:lang w:bidi="ar"/>
        </w:rPr>
        <w:t>《深圳</w:t>
      </w:r>
      <w:r>
        <w:rPr>
          <w:rFonts w:hint="eastAsia" w:asciiTheme="majorEastAsia" w:hAnsiTheme="majorEastAsia" w:eastAsiaTheme="majorEastAsia"/>
          <w:b/>
          <w:bCs/>
          <w:sz w:val="44"/>
          <w:szCs w:val="44"/>
          <w:lang w:eastAsia="zh-CN" w:bidi="ar"/>
        </w:rPr>
        <w:t>市</w:t>
      </w:r>
      <w:r>
        <w:rPr>
          <w:rFonts w:asciiTheme="majorEastAsia" w:hAnsiTheme="majorEastAsia" w:eastAsiaTheme="majorEastAsia"/>
          <w:b/>
          <w:bCs/>
          <w:sz w:val="44"/>
          <w:szCs w:val="44"/>
          <w:lang w:bidi="ar"/>
        </w:rPr>
        <w:t>古树名木行政处罚裁量权</w:t>
      </w:r>
    </w:p>
    <w:p>
      <w:pPr>
        <w:ind w:firstLine="0" w:firstLineChars="0"/>
        <w:jc w:val="center"/>
        <w:rPr>
          <w:rFonts w:hint="eastAsia" w:asciiTheme="majorEastAsia" w:hAnsiTheme="majorEastAsia" w:eastAsiaTheme="majorEastAsia"/>
          <w:b/>
          <w:bCs/>
          <w:sz w:val="44"/>
          <w:szCs w:val="44"/>
          <w:lang w:bidi="ar"/>
        </w:rPr>
      </w:pPr>
      <w:r>
        <w:rPr>
          <w:rFonts w:hint="eastAsia" w:asciiTheme="majorEastAsia" w:hAnsiTheme="majorEastAsia" w:eastAsiaTheme="majorEastAsia"/>
          <w:b/>
          <w:bCs/>
          <w:sz w:val="44"/>
          <w:szCs w:val="44"/>
          <w:lang w:eastAsia="zh-CN" w:bidi="ar"/>
        </w:rPr>
        <w:t>基</w:t>
      </w:r>
      <w:r>
        <w:rPr>
          <w:rFonts w:asciiTheme="majorEastAsia" w:hAnsiTheme="majorEastAsia" w:eastAsiaTheme="majorEastAsia"/>
          <w:b/>
          <w:bCs/>
          <w:sz w:val="44"/>
          <w:szCs w:val="44"/>
          <w:lang w:bidi="ar"/>
        </w:rPr>
        <w:t>准》</w:t>
      </w:r>
      <w:r>
        <w:rPr>
          <w:rFonts w:hint="eastAsia" w:asciiTheme="majorEastAsia" w:hAnsiTheme="majorEastAsia" w:eastAsiaTheme="majorEastAsia"/>
          <w:b/>
          <w:bCs/>
          <w:sz w:val="44"/>
          <w:szCs w:val="44"/>
          <w:lang w:bidi="ar"/>
        </w:rPr>
        <w:t>起草说明</w:t>
      </w:r>
    </w:p>
    <w:p>
      <w:pPr>
        <w:ind w:firstLine="0" w:firstLineChars="0"/>
        <w:jc w:val="center"/>
        <w:rPr>
          <w:rFonts w:hint="eastAsia" w:asciiTheme="majorEastAsia" w:hAnsiTheme="majorEastAsia" w:eastAsiaTheme="majorEastAsia"/>
          <w:b/>
          <w:bCs/>
          <w:sz w:val="44"/>
          <w:szCs w:val="44"/>
          <w:lang w:bidi="ar"/>
        </w:rPr>
      </w:pPr>
    </w:p>
    <w:p>
      <w:pPr>
        <w:keepNext w:val="0"/>
        <w:keepLines w:val="0"/>
        <w:widowControl/>
        <w:suppressLineNumbers w:val="0"/>
        <w:jc w:val="left"/>
        <w:rPr>
          <w:rFonts w:ascii="Segoe UI" w:hAnsi="Segoe UI" w:eastAsia="Segoe UI" w:cs="Segoe UI"/>
        </w:rPr>
      </w:pPr>
      <w:r>
        <w:rPr>
          <w:rFonts w:hint="eastAsia"/>
          <w:lang w:bidi="ar"/>
        </w:rPr>
        <w:t>《深圳经济特区绿化条例》自2016年10月1日起施行，于2019年8月进行了修订，其中</w:t>
      </w:r>
      <w:r>
        <w:rPr>
          <w:rFonts w:hint="eastAsia"/>
          <w:lang w:eastAsia="zh-CN" w:bidi="ar"/>
        </w:rPr>
        <w:t>第六章为</w:t>
      </w:r>
      <w:r>
        <w:rPr>
          <w:rFonts w:hint="eastAsia"/>
          <w:lang w:bidi="ar"/>
        </w:rPr>
        <w:t>古树名木</w:t>
      </w:r>
      <w:r>
        <w:rPr>
          <w:rFonts w:hint="eastAsia"/>
          <w:lang w:eastAsia="zh-CN" w:bidi="ar"/>
        </w:rPr>
        <w:t>特别保护专章</w:t>
      </w:r>
      <w:r>
        <w:rPr>
          <w:rFonts w:hint="eastAsia"/>
          <w:lang w:bidi="ar"/>
        </w:rPr>
        <w:t>。为进一步规范和监督行政处罚自由裁量行为，提高依法行政能力和水平，根据《深圳市规范行政处罚裁量权若干规定》</w:t>
      </w:r>
      <w:r>
        <w:rPr>
          <w:rFonts w:hint="default"/>
          <w:lang w:val="en-US" w:bidi="ar"/>
        </w:rPr>
        <w:t>(</w:t>
      </w:r>
      <w:r>
        <w:rPr>
          <w:rFonts w:hint="eastAsia"/>
          <w:lang w:val="en-US" w:eastAsia="zh-CN" w:bidi="ar"/>
        </w:rPr>
        <w:t>深圳市人民政府令第196号)</w:t>
      </w:r>
      <w:r>
        <w:rPr>
          <w:rFonts w:hint="eastAsia"/>
          <w:lang w:bidi="ar"/>
        </w:rPr>
        <w:t>第八条要求，我局起草了《深圳</w:t>
      </w:r>
      <w:r>
        <w:rPr>
          <w:rFonts w:hint="eastAsia"/>
          <w:lang w:eastAsia="zh-CN" w:bidi="ar"/>
        </w:rPr>
        <w:t>市</w:t>
      </w:r>
      <w:r>
        <w:rPr>
          <w:rFonts w:hint="eastAsia"/>
          <w:lang w:bidi="ar"/>
        </w:rPr>
        <w:t>古树名木行政处罚裁量权</w:t>
      </w:r>
      <w:r>
        <w:rPr>
          <w:rFonts w:hint="eastAsia"/>
          <w:lang w:eastAsia="zh-CN" w:bidi="ar"/>
        </w:rPr>
        <w:t>基</w:t>
      </w:r>
      <w:r>
        <w:rPr>
          <w:rFonts w:hint="eastAsia"/>
          <w:lang w:bidi="ar"/>
        </w:rPr>
        <w:t>准》（以下简称《裁量</w:t>
      </w:r>
      <w:r>
        <w:rPr>
          <w:rFonts w:hint="eastAsia"/>
          <w:lang w:eastAsia="zh-CN" w:bidi="ar"/>
        </w:rPr>
        <w:t>基</w:t>
      </w:r>
      <w:r>
        <w:rPr>
          <w:rFonts w:hint="eastAsia"/>
          <w:lang w:bidi="ar"/>
        </w:rPr>
        <w:t>准》），现就有关</w:t>
      </w:r>
      <w:r>
        <w:rPr>
          <w:rFonts w:hint="eastAsia"/>
          <w:lang w:eastAsia="zh-CN" w:bidi="ar"/>
        </w:rPr>
        <w:t>起草</w:t>
      </w:r>
      <w:r>
        <w:rPr>
          <w:rFonts w:hint="eastAsia"/>
          <w:lang w:bidi="ar"/>
        </w:rPr>
        <w:t>情况说明如下：</w:t>
      </w:r>
    </w:p>
    <w:p>
      <w:pPr>
        <w:pStyle w:val="2"/>
        <w:ind w:firstLine="640"/>
        <w:rPr>
          <w:rFonts w:hint="eastAsia"/>
        </w:rPr>
      </w:pPr>
      <w:r>
        <w:rPr>
          <w:rFonts w:hint="eastAsia"/>
        </w:rPr>
        <w:t>一、起草的必要性</w:t>
      </w:r>
    </w:p>
    <w:p>
      <w:pPr>
        <w:ind w:firstLine="640"/>
        <w:rPr>
          <w:lang w:bidi="ar"/>
        </w:rPr>
      </w:pPr>
      <w:r>
        <w:rPr>
          <w:rFonts w:hint="eastAsia"/>
          <w:lang w:bidi="ar"/>
        </w:rPr>
        <w:t>（一）加强古树名木保护的迫切需求</w:t>
      </w:r>
      <w:r>
        <w:rPr>
          <w:rFonts w:hint="eastAsia"/>
          <w:lang w:eastAsia="zh-CN" w:bidi="ar"/>
        </w:rPr>
        <w:t>。</w:t>
      </w:r>
      <w:r>
        <w:rPr>
          <w:rFonts w:hint="eastAsia"/>
          <w:lang w:bidi="ar"/>
        </w:rPr>
        <w:t>古树名木是珍贵的自然和文化遗产，具有极高的生态、历史、文化和科研价值。在城市快速发展进程中，古树名木面临着城市建设、人为活动等诸多</w:t>
      </w:r>
      <w:r>
        <w:rPr>
          <w:rFonts w:hint="eastAsia"/>
          <w:lang w:eastAsia="zh-CN" w:bidi="ar"/>
        </w:rPr>
        <w:t>影响</w:t>
      </w:r>
      <w:r>
        <w:rPr>
          <w:rFonts w:hint="eastAsia"/>
          <w:lang w:bidi="ar"/>
        </w:rPr>
        <w:t>。制定《裁量</w:t>
      </w:r>
      <w:r>
        <w:rPr>
          <w:rFonts w:hint="eastAsia"/>
          <w:lang w:eastAsia="zh-CN" w:bidi="ar"/>
        </w:rPr>
        <w:t>基</w:t>
      </w:r>
      <w:r>
        <w:rPr>
          <w:rFonts w:hint="eastAsia"/>
          <w:lang w:bidi="ar"/>
        </w:rPr>
        <w:t>准》能够为执法部</w:t>
      </w:r>
      <w:r>
        <w:rPr>
          <w:rFonts w:hint="eastAsia"/>
        </w:rPr>
        <w:t>门提供明确、细化的执法依据，增强执法的精准性和有效性，有力遏制破坏古树名木的违法行为，切实保护好这些不可再生的资源，</w:t>
      </w:r>
      <w:r>
        <w:rPr>
          <w:lang w:bidi="ar"/>
        </w:rPr>
        <w:t>推进全市古树名木保护管理工作法制化。</w:t>
      </w:r>
    </w:p>
    <w:p>
      <w:pPr>
        <w:ind w:firstLine="640"/>
        <w:rPr>
          <w:rFonts w:hint="eastAsia"/>
        </w:rPr>
      </w:pPr>
      <w:r>
        <w:rPr>
          <w:rFonts w:hint="eastAsia"/>
          <w:lang w:bidi="ar"/>
        </w:rPr>
        <w:t>（二）规范行政处罚</w:t>
      </w:r>
      <w:r>
        <w:rPr>
          <w:rFonts w:hint="eastAsia"/>
          <w:lang w:eastAsia="zh-CN" w:bidi="ar"/>
        </w:rPr>
        <w:t>工作</w:t>
      </w:r>
      <w:r>
        <w:rPr>
          <w:rFonts w:hint="eastAsia"/>
          <w:lang w:bidi="ar"/>
        </w:rPr>
        <w:t>的内在要求</w:t>
      </w:r>
      <w:r>
        <w:rPr>
          <w:rFonts w:hint="eastAsia"/>
          <w:lang w:eastAsia="zh-CN" w:bidi="ar"/>
        </w:rPr>
        <w:t>。</w:t>
      </w:r>
      <w:r>
        <w:rPr>
          <w:rFonts w:hint="eastAsia"/>
        </w:rPr>
        <w:t>在古树名木行政处罚中，深圳市目前缺乏统一明确的裁量标准，影响</w:t>
      </w:r>
      <w:r>
        <w:rPr>
          <w:rFonts w:hint="eastAsia"/>
          <w:lang w:eastAsia="zh-CN"/>
        </w:rPr>
        <w:t>行政</w:t>
      </w:r>
      <w:r>
        <w:rPr>
          <w:rFonts w:hint="eastAsia"/>
        </w:rPr>
        <w:t>执法的公正性和权威性。《裁量</w:t>
      </w:r>
      <w:r>
        <w:rPr>
          <w:rFonts w:hint="eastAsia"/>
          <w:lang w:eastAsia="zh-CN"/>
        </w:rPr>
        <w:t>基</w:t>
      </w:r>
      <w:r>
        <w:rPr>
          <w:rFonts w:hint="eastAsia"/>
        </w:rPr>
        <w:t>准》统一执法尺度，减少自由裁量的随意性，确保处罚决定公平合理，提高执法公信力。</w:t>
      </w:r>
      <w:r>
        <w:rPr>
          <w:rFonts w:hint="eastAsia"/>
          <w:lang w:eastAsia="zh-CN"/>
        </w:rPr>
        <w:t>此外，行政处罚</w:t>
      </w:r>
      <w:r>
        <w:rPr>
          <w:rFonts w:hint="eastAsia"/>
        </w:rPr>
        <w:t>原则上进行定额、定量处罚，执法人员依据清晰的标准，能够迅速准确地判断违法行为的性质和程度，作出恰当处罚，避免因裁量权行使不当而引发的争议和纠纷</w:t>
      </w:r>
      <w:r>
        <w:rPr>
          <w:rFonts w:hint="eastAsia"/>
          <w:lang w:eastAsia="zh-CN"/>
        </w:rPr>
        <w:t>，</w:t>
      </w:r>
      <w:r>
        <w:rPr>
          <w:rFonts w:hint="eastAsia"/>
        </w:rPr>
        <w:t>提高执法效率。</w:t>
      </w:r>
    </w:p>
    <w:p>
      <w:pPr>
        <w:ind w:firstLine="640"/>
        <w:rPr>
          <w:rFonts w:hint="eastAsia" w:ascii="黑体" w:hAnsi="黑体" w:eastAsia="黑体" w:cstheme="minorBidi"/>
          <w:kern w:val="2"/>
          <w:sz w:val="32"/>
          <w:szCs w:val="24"/>
          <w:lang w:val="en-US" w:eastAsia="zh-CN" w:bidi="ar-SA"/>
        </w:rPr>
      </w:pPr>
      <w:r>
        <w:rPr>
          <w:rFonts w:hint="eastAsia" w:ascii="黑体" w:hAnsi="黑体" w:eastAsia="黑体" w:cstheme="minorBidi"/>
          <w:kern w:val="2"/>
          <w:sz w:val="32"/>
          <w:szCs w:val="24"/>
          <w:lang w:val="en-US" w:eastAsia="zh-CN" w:bidi="ar-SA"/>
        </w:rPr>
        <w:t>二、《裁量基准》起草的依据</w:t>
      </w:r>
    </w:p>
    <w:p>
      <w:pPr>
        <w:ind w:firstLine="640"/>
      </w:pPr>
      <w:r>
        <w:rPr>
          <w:rFonts w:hint="eastAsia"/>
        </w:rPr>
        <w:t>《深圳古树名木行政处罚裁量权</w:t>
      </w:r>
      <w:r>
        <w:rPr>
          <w:rFonts w:hint="eastAsia"/>
          <w:lang w:eastAsia="zh-CN"/>
        </w:rPr>
        <w:t>基</w:t>
      </w:r>
      <w:r>
        <w:rPr>
          <w:rFonts w:hint="eastAsia"/>
        </w:rPr>
        <w:t>准》主要依据《中华人民共和国行政处罚法》《广东省规范行政处罚自由裁量权规定》《深圳市规范行政处罚裁量权若干规定》《广东省森林保护管理条例》《深圳经济特区绿化条例》《国务院办公厅关于进一步规范行政裁量权基准制定和管理工作的意见》《司法部办公厅关于印发&lt;关于行政裁量权基准制定和管理的工作指引&gt;的通知》等法律、法规、规章</w:t>
      </w:r>
      <w:r>
        <w:rPr>
          <w:rFonts w:hint="eastAsia"/>
          <w:lang w:eastAsia="zh-CN"/>
        </w:rPr>
        <w:t>、规范性文件</w:t>
      </w:r>
      <w:r>
        <w:rPr>
          <w:rFonts w:hint="eastAsia"/>
        </w:rPr>
        <w:t>的规定，同时参考</w:t>
      </w:r>
      <w:r>
        <w:rPr>
          <w:rFonts w:hint="eastAsia"/>
          <w:lang w:eastAsia="zh-CN"/>
        </w:rPr>
        <w:t>广州等地市已实施的古树名木行政处罚</w:t>
      </w:r>
      <w:r>
        <w:rPr>
          <w:rFonts w:hint="eastAsia"/>
        </w:rPr>
        <w:t>裁量标准。</w:t>
      </w:r>
    </w:p>
    <w:p>
      <w:pPr>
        <w:pStyle w:val="2"/>
        <w:ind w:firstLine="640"/>
        <w:rPr>
          <w:rFonts w:hint="eastAsia"/>
        </w:rPr>
      </w:pPr>
      <w:r>
        <w:rPr>
          <w:rFonts w:hint="eastAsia"/>
        </w:rPr>
        <w:t>三、《裁量</w:t>
      </w:r>
      <w:r>
        <w:rPr>
          <w:rFonts w:hint="eastAsia"/>
          <w:lang w:eastAsia="zh-CN"/>
        </w:rPr>
        <w:t>基</w:t>
      </w:r>
      <w:r>
        <w:rPr>
          <w:rFonts w:hint="eastAsia"/>
        </w:rPr>
        <w:t>准》起草的主要内容</w:t>
      </w:r>
    </w:p>
    <w:p>
      <w:pPr>
        <w:ind w:firstLine="640"/>
      </w:pPr>
      <w:r>
        <w:rPr>
          <w:rFonts w:hint="eastAsia"/>
        </w:rPr>
        <w:t>《裁量</w:t>
      </w:r>
      <w:r>
        <w:rPr>
          <w:rFonts w:hint="eastAsia"/>
          <w:lang w:eastAsia="zh-CN"/>
        </w:rPr>
        <w:t>基</w:t>
      </w:r>
      <w:r>
        <w:rPr>
          <w:rFonts w:hint="eastAsia"/>
        </w:rPr>
        <w:t xml:space="preserve">准》的主要依据《深圳经济特区绿化条例》第五十四条、第五十五条违法情形分为七种情况，其中第五十四条违法情形有五种情况： </w:t>
      </w:r>
    </w:p>
    <w:p>
      <w:pPr>
        <w:ind w:firstLine="640"/>
      </w:pPr>
      <w:r>
        <w:rPr>
          <w:rFonts w:hint="eastAsia"/>
        </w:rPr>
        <w:t>（一）在古树名木上刻划、张贴或者悬挂物品；</w:t>
      </w:r>
    </w:p>
    <w:p>
      <w:pPr>
        <w:ind w:firstLine="640"/>
      </w:pPr>
      <w:r>
        <w:rPr>
          <w:rFonts w:hint="eastAsia"/>
        </w:rPr>
        <w:t>（二）攀树、折枝、截干、挖根、剥皮等；</w:t>
      </w:r>
    </w:p>
    <w:p>
      <w:pPr>
        <w:ind w:firstLine="640"/>
      </w:pPr>
      <w:r>
        <w:rPr>
          <w:rFonts w:hint="eastAsia"/>
        </w:rPr>
        <w:t>（三）在古树名木控制保护范围内堆放物料、取土、兴建临时建筑物、构筑物及倾倒污水、垃圾等；</w:t>
      </w:r>
    </w:p>
    <w:p>
      <w:pPr>
        <w:ind w:firstLine="640"/>
      </w:pPr>
      <w:r>
        <w:rPr>
          <w:rFonts w:hint="eastAsia"/>
        </w:rPr>
        <w:t>（四）擅自修剪古树名木；</w:t>
      </w:r>
    </w:p>
    <w:p>
      <w:pPr>
        <w:ind w:firstLine="640"/>
      </w:pPr>
      <w:r>
        <w:rPr>
          <w:rFonts w:hint="eastAsia"/>
        </w:rPr>
        <w:t>（五）其他损害古树名木的行为。</w:t>
      </w:r>
    </w:p>
    <w:p>
      <w:pPr>
        <w:ind w:firstLine="838" w:firstLineChars="262"/>
      </w:pPr>
      <w:r>
        <w:rPr>
          <w:rFonts w:hint="eastAsia"/>
        </w:rPr>
        <w:t>第五十五条违法情形有两种情况：</w:t>
      </w:r>
    </w:p>
    <w:p>
      <w:pPr>
        <w:ind w:firstLine="198" w:firstLineChars="62"/>
      </w:pPr>
      <w:r>
        <w:rPr>
          <w:rFonts w:hint="eastAsia"/>
        </w:rPr>
        <w:t xml:space="preserve">   （一）擅自迁移古树名木的；</w:t>
      </w:r>
    </w:p>
    <w:p>
      <w:pPr>
        <w:ind w:firstLine="198" w:firstLineChars="62"/>
      </w:pPr>
      <w:r>
        <w:rPr>
          <w:rFonts w:hint="eastAsia"/>
        </w:rPr>
        <w:t xml:space="preserve">   （二）擅自迁移致古树名木死亡或者擅自砍伐古树名木的</w:t>
      </w:r>
    </w:p>
    <w:p>
      <w:pPr>
        <w:ind w:firstLine="640"/>
        <w:rPr>
          <w:rFonts w:hint="default" w:eastAsia="仿宋"/>
          <w:lang w:val="en-US" w:eastAsia="zh-CN"/>
        </w:rPr>
      </w:pPr>
      <w:r>
        <w:rPr>
          <w:rFonts w:hint="eastAsia"/>
        </w:rPr>
        <w:t>同时对古树名木等有关法律、法规、规章的违法行为进行梳理，结合《深圳经济特区绿化条例》未明确的违法行为进行归纳总结，针对违法情节的危害程度、古树名木的特殊性，在法定裁量范围内，将违法</w:t>
      </w:r>
      <w:r>
        <w:rPr>
          <w:rFonts w:hint="eastAsia"/>
          <w:lang w:eastAsia="zh-CN"/>
        </w:rPr>
        <w:t>适用</w:t>
      </w:r>
      <w:r>
        <w:rPr>
          <w:rFonts w:hint="eastAsia"/>
        </w:rPr>
        <w:t>对象分为“三级古树”、“二级古树”、“一级古树</w:t>
      </w:r>
      <w:r>
        <w:rPr>
          <w:rFonts w:hint="eastAsia"/>
          <w:lang w:eastAsia="zh-CN"/>
        </w:rPr>
        <w:t>、</w:t>
      </w:r>
      <w:r>
        <w:rPr>
          <w:rFonts w:hint="eastAsia"/>
        </w:rPr>
        <w:t>名木”</w:t>
      </w:r>
      <w:r>
        <w:rPr>
          <w:rFonts w:hint="eastAsia"/>
          <w:lang w:eastAsia="zh-CN"/>
        </w:rPr>
        <w:t>等几</w:t>
      </w:r>
      <w:r>
        <w:rPr>
          <w:rFonts w:hint="eastAsia"/>
        </w:rPr>
        <w:t>种情形，</w:t>
      </w:r>
      <w:r>
        <w:rPr>
          <w:rFonts w:hint="eastAsia"/>
          <w:lang w:eastAsia="zh-CN"/>
        </w:rPr>
        <w:t>结合</w:t>
      </w:r>
      <w:r>
        <w:rPr>
          <w:rFonts w:hint="eastAsia"/>
        </w:rPr>
        <w:t>违法情节</w:t>
      </w:r>
      <w:r>
        <w:rPr>
          <w:rFonts w:hint="eastAsia"/>
          <w:lang w:eastAsia="zh-CN"/>
        </w:rPr>
        <w:t>确定处罚</w:t>
      </w:r>
      <w:r>
        <w:rPr>
          <w:rFonts w:hint="eastAsia"/>
        </w:rPr>
        <w:t>幅度</w:t>
      </w:r>
      <w:r>
        <w:rPr>
          <w:rFonts w:hint="eastAsia"/>
          <w:lang w:eastAsia="zh-CN"/>
        </w:rPr>
        <w:t>和标准，主要分为：不予处罚，罚款</w:t>
      </w:r>
      <w:r>
        <w:rPr>
          <w:rFonts w:hint="eastAsia"/>
          <w:lang w:val="en-US" w:eastAsia="zh-CN"/>
        </w:rPr>
        <w:t>3千-5千元，罚款5千-8千元，罚款8千-1万元，罚款10万-20万元，罚款30万元-50万元等。</w:t>
      </w:r>
    </w:p>
    <w:p>
      <w:pPr>
        <w:pStyle w:val="2"/>
        <w:ind w:firstLine="640"/>
        <w:rPr>
          <w:rFonts w:hint="eastAsia"/>
        </w:rPr>
      </w:pPr>
      <w:r>
        <w:rPr>
          <w:rFonts w:hint="eastAsia"/>
        </w:rPr>
        <w:t>四、需要说明的其他问题</w:t>
      </w:r>
    </w:p>
    <w:p>
      <w:pPr>
        <w:ind w:firstLine="640"/>
        <w:rPr>
          <w:rFonts w:hint="eastAsia"/>
        </w:rPr>
      </w:pPr>
      <w:bookmarkStart w:id="0" w:name="OLE_LINK1"/>
      <w:r>
        <w:rPr>
          <w:rFonts w:hint="eastAsia"/>
        </w:rPr>
        <w:t>（一）根据行政处罚的法律、法规、规章的相关规定，针对违法情节，明确了行政处罚的种类；</w:t>
      </w:r>
    </w:p>
    <w:bookmarkEnd w:id="0"/>
    <w:p>
      <w:pPr>
        <w:ind w:firstLine="640"/>
      </w:pPr>
      <w:r>
        <w:rPr>
          <w:rFonts w:hint="eastAsia"/>
        </w:rPr>
        <w:t>（二）根据古树名木类法律、法规、规章的相关规定，明确同时契合两个及以上程度的违法情节时，明确了具体裁量标准和适用条件；</w:t>
      </w:r>
    </w:p>
    <w:p>
      <w:pPr>
        <w:ind w:firstLine="640"/>
        <w:rPr>
          <w:rFonts w:hint="eastAsia"/>
        </w:rPr>
      </w:pPr>
      <w:r>
        <w:rPr>
          <w:rFonts w:hint="eastAsia"/>
        </w:rPr>
        <w:t>（三）根据古树名木类法律、法规、规章的相关规定，针对违法行为导致古树名木死亡的，明确了具体处罚幅度；</w:t>
      </w:r>
    </w:p>
    <w:p>
      <w:pPr>
        <w:ind w:firstLine="640"/>
        <w:rPr>
          <w:rFonts w:hint="eastAsia"/>
        </w:rPr>
      </w:pPr>
      <w:r>
        <w:rPr>
          <w:rFonts w:hint="eastAsia"/>
        </w:rPr>
        <w:t>（四）对法律、法规、规章的相关规定，根据违法情节当事人的实际情况，明确了以“不予行政处罚”、“从轻行政处罚”、“从重行政处罚”三种情况施行相应处罚。</w:t>
      </w:r>
    </w:p>
    <w:p>
      <w:pPr>
        <w:ind w:firstLine="640"/>
      </w:pPr>
      <w:bookmarkStart w:id="1" w:name="_GoBack"/>
      <w:bookmarkEnd w:id="1"/>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38"/>
    <w:rsid w:val="00007886"/>
    <w:rsid w:val="00045FDF"/>
    <w:rsid w:val="00115536"/>
    <w:rsid w:val="001C67C0"/>
    <w:rsid w:val="001F344E"/>
    <w:rsid w:val="00204BEE"/>
    <w:rsid w:val="002B608E"/>
    <w:rsid w:val="002E79E9"/>
    <w:rsid w:val="002F4C98"/>
    <w:rsid w:val="00322B4F"/>
    <w:rsid w:val="003C7BB2"/>
    <w:rsid w:val="00435357"/>
    <w:rsid w:val="00447D90"/>
    <w:rsid w:val="00565F00"/>
    <w:rsid w:val="005723E5"/>
    <w:rsid w:val="00582A7F"/>
    <w:rsid w:val="00636728"/>
    <w:rsid w:val="006B65EB"/>
    <w:rsid w:val="006D0D09"/>
    <w:rsid w:val="0078375C"/>
    <w:rsid w:val="007A6C59"/>
    <w:rsid w:val="007D36DF"/>
    <w:rsid w:val="007E14B8"/>
    <w:rsid w:val="007E52A3"/>
    <w:rsid w:val="00832BEC"/>
    <w:rsid w:val="008B02B8"/>
    <w:rsid w:val="009700CA"/>
    <w:rsid w:val="00983F5B"/>
    <w:rsid w:val="009A3821"/>
    <w:rsid w:val="00A51938"/>
    <w:rsid w:val="00A7086E"/>
    <w:rsid w:val="00A839D4"/>
    <w:rsid w:val="00AB5B44"/>
    <w:rsid w:val="00B065C4"/>
    <w:rsid w:val="00BD4072"/>
    <w:rsid w:val="00BE02CF"/>
    <w:rsid w:val="00C0361F"/>
    <w:rsid w:val="00D60B0E"/>
    <w:rsid w:val="00D872D3"/>
    <w:rsid w:val="00DB556A"/>
    <w:rsid w:val="00EA2D7E"/>
    <w:rsid w:val="00F34120"/>
    <w:rsid w:val="00F85978"/>
    <w:rsid w:val="00FB435F"/>
    <w:rsid w:val="00FE4B7C"/>
    <w:rsid w:val="03C06A2B"/>
    <w:rsid w:val="0B27A092"/>
    <w:rsid w:val="4AE592F9"/>
    <w:rsid w:val="5BCB80B5"/>
    <w:rsid w:val="5DFB79A2"/>
    <w:rsid w:val="6EFF1C51"/>
    <w:rsid w:val="7DF9FFAD"/>
    <w:rsid w:val="7FBA317C"/>
    <w:rsid w:val="F3BEFD3E"/>
    <w:rsid w:val="F3FF0C76"/>
    <w:rsid w:val="FF9D0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spacing w:line="480" w:lineRule="auto"/>
      <w:outlineLvl w:val="0"/>
    </w:pPr>
    <w:rPr>
      <w:rFonts w:ascii="黑体" w:hAnsi="黑体" w:eastAsia="黑体"/>
    </w:rPr>
  </w:style>
  <w:style w:type="paragraph" w:styleId="3">
    <w:name w:val="heading 2"/>
    <w:basedOn w:val="1"/>
    <w:next w:val="1"/>
    <w:link w:val="14"/>
    <w:semiHidden/>
    <w:unhideWhenUsed/>
    <w:qFormat/>
    <w:uiPriority w:val="0"/>
    <w:pPr>
      <w:keepNext/>
      <w:keepLines/>
      <w:spacing w:before="260" w:after="260" w:line="416" w:lineRule="atLeast"/>
      <w:outlineLvl w:val="1"/>
    </w:pPr>
    <w:rPr>
      <w:rFonts w:asciiTheme="majorHAnsi" w:hAnsiTheme="majorHAnsi" w:eastAsiaTheme="majorEastAsia" w:cstheme="majorBidi"/>
      <w:b/>
      <w:bCs/>
      <w:szCs w:val="32"/>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cs="Times New Roman"/>
      <w:b/>
      <w:bCs/>
      <w:kern w:val="0"/>
      <w:sz w:val="27"/>
      <w:szCs w:val="27"/>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qFormat/>
    <w:uiPriority w:val="0"/>
    <w:pPr>
      <w:tabs>
        <w:tab w:val="center" w:pos="4153"/>
        <w:tab w:val="right" w:pos="8306"/>
      </w:tabs>
      <w:snapToGrid w:val="0"/>
      <w:spacing w:line="240" w:lineRule="atLeast"/>
    </w:pPr>
    <w:rPr>
      <w:sz w:val="18"/>
      <w:szCs w:val="18"/>
    </w:rPr>
  </w:style>
  <w:style w:type="paragraph" w:styleId="6">
    <w:name w:val="header"/>
    <w:basedOn w:val="1"/>
    <w:link w:val="11"/>
    <w:qFormat/>
    <w:uiPriority w:val="0"/>
    <w:pPr>
      <w:tabs>
        <w:tab w:val="center" w:pos="4153"/>
        <w:tab w:val="right" w:pos="8306"/>
      </w:tabs>
      <w:snapToGrid w:val="0"/>
      <w:spacing w:line="240" w:lineRule="atLeast"/>
      <w:jc w:val="center"/>
    </w:pPr>
    <w:rPr>
      <w:sz w:val="18"/>
      <w:szCs w:val="18"/>
    </w:rPr>
  </w:style>
  <w:style w:type="character" w:styleId="9">
    <w:name w:val="Strong"/>
    <w:basedOn w:val="8"/>
    <w:qFormat/>
    <w:uiPriority w:val="0"/>
    <w:rPr>
      <w:b/>
    </w:rPr>
  </w:style>
  <w:style w:type="paragraph" w:styleId="10">
    <w:name w:val="List Paragraph"/>
    <w:basedOn w:val="1"/>
    <w:unhideWhenUsed/>
    <w:qFormat/>
    <w:uiPriority w:val="99"/>
    <w:pPr>
      <w:ind w:firstLine="420"/>
    </w:pPr>
  </w:style>
  <w:style w:type="character" w:customStyle="1" w:styleId="11">
    <w:name w:val="页眉 字符"/>
    <w:basedOn w:val="8"/>
    <w:link w:val="6"/>
    <w:qFormat/>
    <w:uiPriority w:val="0"/>
    <w:rPr>
      <w:rFonts w:eastAsia="仿宋" w:asciiTheme="minorHAnsi" w:hAnsiTheme="minorHAnsi" w:cstheme="minorBidi"/>
      <w:kern w:val="2"/>
      <w:sz w:val="18"/>
      <w:szCs w:val="18"/>
    </w:rPr>
  </w:style>
  <w:style w:type="character" w:customStyle="1" w:styleId="12">
    <w:name w:val="页脚 字符"/>
    <w:basedOn w:val="8"/>
    <w:link w:val="5"/>
    <w:qFormat/>
    <w:uiPriority w:val="0"/>
    <w:rPr>
      <w:rFonts w:eastAsia="仿宋" w:asciiTheme="minorHAnsi" w:hAnsiTheme="minorHAnsi" w:cstheme="minorBidi"/>
      <w:kern w:val="2"/>
      <w:sz w:val="18"/>
      <w:szCs w:val="18"/>
    </w:rPr>
  </w:style>
  <w:style w:type="paragraph" w:styleId="13">
    <w:name w:val="No Spacing"/>
    <w:qFormat/>
    <w:uiPriority w:val="1"/>
    <w:pPr>
      <w:widowControl w:val="0"/>
      <w:jc w:val="both"/>
    </w:pPr>
    <w:rPr>
      <w:rFonts w:eastAsia="宋体" w:asciiTheme="minorHAnsi" w:hAnsiTheme="minorHAnsi" w:cstheme="minorBidi"/>
      <w:kern w:val="2"/>
      <w:sz w:val="21"/>
      <w:szCs w:val="22"/>
      <w:lang w:val="en-US" w:eastAsia="zh-CN" w:bidi="ar-SA"/>
      <w14:ligatures w14:val="standardContextual"/>
    </w:rPr>
  </w:style>
  <w:style w:type="character" w:customStyle="1" w:styleId="14">
    <w:name w:val="标题 2 字符"/>
    <w:basedOn w:val="8"/>
    <w:link w:val="3"/>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246</Words>
  <Characters>1408</Characters>
  <Lines>11</Lines>
  <Paragraphs>3</Paragraphs>
  <TotalTime>63</TotalTime>
  <ScaleCrop>false</ScaleCrop>
  <LinksUpToDate>false</LinksUpToDate>
  <CharactersWithSpaces>1651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2024-12-22T08:26:00Z</dcterms:created>
  <dc:creator>30753</dc:creator>
  <cp:lastModifiedBy>qilin</cp:lastModifiedBy>
  <dcterms:modified xsi:type="dcterms:W3CDTF">2025-04-15T10:52:57Z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F1A67CDE1FBF4BB0A702ABDDCF8ADF6A_12</vt:lpwstr>
  </property>
</Properties>
</file>