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overflowPunct/>
        <w:topLinePunct w:val="0"/>
        <w:autoSpaceDE/>
        <w:autoSpaceDN/>
        <w:bidi w:val="0"/>
        <w:jc w:val="center"/>
        <w:rPr>
          <w:rFonts w:hint="eastAsia" w:ascii="黑体" w:hAnsi="黑体" w:eastAsia="黑体" w:cs="黑体"/>
          <w:b/>
          <w:color w:val="auto"/>
          <w:sz w:val="32"/>
          <w:szCs w:val="32"/>
          <w:highlight w:val="none"/>
          <w:lang w:val="en-US" w:eastAsia="zh-CN"/>
        </w:rPr>
      </w:pPr>
      <w:r>
        <w:rPr>
          <w:rFonts w:hint="eastAsia" w:ascii="黑体" w:hAnsi="黑体" w:eastAsia="黑体" w:cs="黑体"/>
          <w:b/>
          <w:color w:val="auto"/>
          <w:sz w:val="44"/>
          <w:szCs w:val="44"/>
          <w:highlight w:val="none"/>
        </w:rPr>
        <w:t>服务类项目采购需求</w:t>
      </w:r>
      <w:r>
        <w:rPr>
          <w:rFonts w:hint="eastAsia" w:ascii="黑体" w:hAnsi="黑体" w:eastAsia="黑体" w:cs="黑体"/>
          <w:b/>
          <w:color w:val="auto"/>
          <w:sz w:val="44"/>
          <w:szCs w:val="44"/>
          <w:highlight w:val="none"/>
          <w:lang w:eastAsia="zh-CN"/>
        </w:rPr>
        <w:t>文件</w:t>
      </w:r>
      <w:bookmarkStart w:id="0" w:name="_GoBack"/>
      <w:bookmarkEnd w:id="0"/>
    </w:p>
    <w:tbl>
      <w:tblPr>
        <w:tblStyle w:val="8"/>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664"/>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项目名称</w:t>
            </w:r>
          </w:p>
        </w:tc>
        <w:tc>
          <w:tcPr>
            <w:tcW w:w="7221" w:type="dxa"/>
            <w:gridSpan w:val="4"/>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年公示通告刊登服务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采购人名称</w:t>
            </w:r>
          </w:p>
        </w:tc>
        <w:tc>
          <w:tcPr>
            <w:tcW w:w="3594" w:type="dxa"/>
            <w:gridSpan w:val="2"/>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深圳市规划和自然资源局</w:t>
            </w:r>
            <w:r>
              <w:rPr>
                <w:rFonts w:hint="eastAsia" w:ascii="仿宋" w:hAnsi="仿宋" w:eastAsia="仿宋" w:cs="仿宋"/>
                <w:color w:val="auto"/>
                <w:szCs w:val="21"/>
                <w:highlight w:val="none"/>
                <w:lang w:val="en-US" w:eastAsia="zh-CN"/>
              </w:rPr>
              <w:t>光明</w:t>
            </w:r>
            <w:r>
              <w:rPr>
                <w:rFonts w:hint="eastAsia" w:ascii="仿宋" w:hAnsi="仿宋" w:eastAsia="仿宋" w:cs="仿宋"/>
                <w:color w:val="auto"/>
                <w:szCs w:val="21"/>
                <w:highlight w:val="none"/>
                <w:lang w:eastAsia="zh-CN"/>
              </w:rPr>
              <w:t>管理局</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采购方式</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直接确定供应商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计划立项批文号</w:t>
            </w:r>
          </w:p>
        </w:tc>
        <w:tc>
          <w:tcPr>
            <w:tcW w:w="3594" w:type="dxa"/>
            <w:gridSpan w:val="2"/>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无</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资金来源</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财政预算限额（元）</w:t>
            </w:r>
          </w:p>
        </w:tc>
        <w:tc>
          <w:tcPr>
            <w:tcW w:w="7221" w:type="dxa"/>
            <w:gridSpan w:val="4"/>
            <w:noWrap w:val="0"/>
            <w:vAlign w:val="center"/>
          </w:tcPr>
          <w:p>
            <w:pPr>
              <w:keepNext w:val="0"/>
              <w:keepLines w:val="0"/>
              <w:pageBreakBefore w:val="0"/>
              <w:widowControl w:val="0"/>
              <w:kinsoku/>
              <w:overflowPunct/>
              <w:topLinePunct w:val="0"/>
              <w:autoSpaceDE/>
              <w:autoSpaceDN/>
              <w:bidi w:val="0"/>
              <w:jc w:val="left"/>
              <w:rPr>
                <w:rFonts w:hint="default"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421600.00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项目背景</w:t>
            </w:r>
          </w:p>
        </w:tc>
        <w:tc>
          <w:tcPr>
            <w:tcW w:w="7221" w:type="dxa"/>
            <w:gridSpan w:val="4"/>
            <w:noWrap w:val="0"/>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jc w:val="both"/>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根据《中华人民共和国城乡规划法》《广东省城乡规划条例》和《深圳市城市规划条例》等有关规定，城乡规划（总体规划、次分区规划、法定图则、详细蓝图等）报送审批前，组织编制机关应当依法将城乡规划草案予以公告，并采取论证会、听证会或其他方式征求专家和公众的意见，公告时间不得少于三十日。该环节是涉及规划调整的项目开展规划用地审批的法定前置条件。</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360" w:firstLineChars="200"/>
              <w:jc w:val="both"/>
              <w:textAlignment w:val="auto"/>
              <w:rPr>
                <w:rFonts w:hint="eastAsia" w:ascii="仿宋" w:hAnsi="仿宋" w:eastAsia="仿宋" w:cs="仿宋"/>
                <w:b w:val="0"/>
                <w:bCs w:val="0"/>
                <w:kern w:val="2"/>
                <w:sz w:val="18"/>
                <w:szCs w:val="18"/>
                <w:lang w:val="en-US" w:eastAsia="zh-CN" w:bidi="ar-SA"/>
              </w:rPr>
            </w:pPr>
            <w:r>
              <w:rPr>
                <w:rFonts w:hint="eastAsia" w:ascii="仿宋" w:hAnsi="仿宋" w:eastAsia="仿宋" w:cs="仿宋"/>
                <w:b w:val="0"/>
                <w:bCs w:val="0"/>
                <w:kern w:val="2"/>
                <w:sz w:val="18"/>
                <w:szCs w:val="18"/>
                <w:lang w:val="en-US" w:eastAsia="zh-CN" w:bidi="ar-SA"/>
              </w:rPr>
              <w:t>为规范政府及其工作部门公告活动，增强政府工作的透明度，促进依法行政，市政府于2000年10月20日发布《深圳市人民政府公告管理规定》（深圳市人民政府令第95号）。根据该规定第五条，市政府明确在《深圳特区报》、《深圳商报》发布政府公告。</w:t>
            </w:r>
          </w:p>
          <w:p>
            <w:pPr>
              <w:keepNext w:val="0"/>
              <w:keepLines w:val="0"/>
              <w:pageBreakBefore w:val="0"/>
              <w:widowControl w:val="0"/>
              <w:kinsoku/>
              <w:overflowPunct/>
              <w:topLinePunct w:val="0"/>
              <w:autoSpaceDE/>
              <w:autoSpaceDN/>
              <w:bidi w:val="0"/>
              <w:ind w:firstLine="360" w:firstLineChars="200"/>
              <w:jc w:val="left"/>
              <w:rPr>
                <w:rFonts w:hint="eastAsia"/>
                <w:lang w:val="en-US" w:eastAsia="zh-CN"/>
              </w:rPr>
            </w:pPr>
            <w:r>
              <w:rPr>
                <w:rFonts w:hint="eastAsia" w:ascii="仿宋" w:hAnsi="仿宋" w:eastAsia="仿宋" w:cs="仿宋"/>
                <w:b w:val="0"/>
                <w:bCs w:val="0"/>
                <w:kern w:val="2"/>
                <w:sz w:val="18"/>
                <w:szCs w:val="18"/>
                <w:lang w:val="en-US" w:eastAsia="zh-CN" w:bidi="ar-SA"/>
              </w:rPr>
              <w:t>目前，光明区肩负建设世界一流科学城和深圳北部中心的战略目标和重大使命，更多重大重点项目和民生工程将纳入建设计划，为确保项目顺利推进，须做好相关公开公示工作。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4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项目前期设计、规划论证单位</w:t>
            </w:r>
          </w:p>
        </w:tc>
        <w:tc>
          <w:tcPr>
            <w:tcW w:w="7221" w:type="dxa"/>
            <w:gridSpan w:val="4"/>
            <w:noWrap w:val="0"/>
            <w:vAlign w:val="center"/>
          </w:tcPr>
          <w:p>
            <w:pPr>
              <w:keepNext w:val="0"/>
              <w:keepLines w:val="0"/>
              <w:pageBreakBefore w:val="0"/>
              <w:widowControl w:val="0"/>
              <w:kinsoku/>
              <w:overflowPunct/>
              <w:topLinePunct w:val="0"/>
              <w:autoSpaceDE/>
              <w:autoSpaceDN/>
              <w:bidi w:val="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746"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投标人资质要求</w:t>
            </w:r>
          </w:p>
        </w:tc>
        <w:tc>
          <w:tcPr>
            <w:tcW w:w="7221" w:type="dxa"/>
            <w:gridSpan w:val="4"/>
            <w:noWrap w:val="0"/>
            <w:vAlign w:val="top"/>
          </w:tcPr>
          <w:p>
            <w:pPr>
              <w:jc w:val="left"/>
              <w:rPr>
                <w:rFonts w:hint="eastAsia" w:ascii="仿宋" w:hAnsi="仿宋" w:eastAsia="仿宋" w:cs="仿宋"/>
                <w:b/>
                <w:kern w:val="0"/>
                <w:sz w:val="18"/>
                <w:szCs w:val="18"/>
              </w:rPr>
            </w:pPr>
            <w:r>
              <w:rPr>
                <w:rFonts w:hint="eastAsia" w:ascii="仿宋" w:hAnsi="仿宋" w:eastAsia="仿宋" w:cs="仿宋"/>
                <w:b/>
                <w:kern w:val="0"/>
                <w:sz w:val="18"/>
                <w:szCs w:val="18"/>
              </w:rPr>
              <w:t>注意：采购人根据项目所需提供明确、具体的资质要求，资质要求的内容必须与项目等级相匹配且符合相关法律规定。（设置的投标人资格要求必须提交有法律法规依据的证明文件，且不具备倾向性）</w:t>
            </w:r>
          </w:p>
          <w:p>
            <w:pPr>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eastAsia" w:ascii="仿宋" w:hAnsi="仿宋" w:eastAsia="仿宋" w:cs="仿宋"/>
                <w:color w:val="auto"/>
                <w:sz w:val="18"/>
                <w:szCs w:val="18"/>
                <w:shd w:val="clear" w:color="auto" w:fill="FFFFFF"/>
              </w:rPr>
              <w:t>满足《中华人民共和国政府采购法》第二十二条规定（由供应商在《政府采购投标及履约承诺函》中作出声明）</w:t>
            </w:r>
            <w:r>
              <w:rPr>
                <w:rFonts w:hint="eastAsia" w:ascii="仿宋" w:hAnsi="仿宋" w:eastAsia="仿宋" w:cs="仿宋"/>
                <w:color w:val="auto"/>
                <w:kern w:val="0"/>
                <w:sz w:val="18"/>
                <w:szCs w:val="18"/>
              </w:rPr>
              <w:t>；</w:t>
            </w:r>
          </w:p>
          <w:p>
            <w:pPr>
              <w:pStyle w:val="7"/>
              <w:widowControl/>
              <w:shd w:val="clear" w:color="auto" w:fill="FFFFFF"/>
              <w:spacing w:before="0" w:beforeAutospacing="0" w:after="0" w:afterAutospacing="0" w:line="15" w:lineRule="atLeast"/>
              <w:jc w:val="both"/>
              <w:rPr>
                <w:rFonts w:hint="eastAsia" w:ascii="仿宋" w:hAnsi="仿宋" w:eastAsia="仿宋" w:cs="仿宋"/>
                <w:color w:val="auto"/>
                <w:sz w:val="18"/>
                <w:szCs w:val="18"/>
              </w:rPr>
            </w:pPr>
            <w:r>
              <w:rPr>
                <w:rFonts w:hint="eastAsia" w:ascii="仿宋" w:hAnsi="仿宋" w:eastAsia="仿宋" w:cs="仿宋"/>
                <w:color w:val="auto"/>
                <w:sz w:val="18"/>
                <w:szCs w:val="18"/>
              </w:rPr>
              <w:t>2）</w:t>
            </w:r>
            <w:r>
              <w:rPr>
                <w:rFonts w:hint="eastAsia" w:ascii="仿宋" w:hAnsi="仿宋" w:eastAsia="仿宋" w:cs="仿宋"/>
                <w:color w:val="auto"/>
                <w:sz w:val="18"/>
                <w:szCs w:val="18"/>
                <w:shd w:val="clear" w:color="auto" w:fill="FFFFFF"/>
              </w:rPr>
              <w:t>投标人具有独立法人资格或独立承担民事责任能力的其他组织（提供营业执照或事业单位法人证等法人证明复印件加盖投标人公章，原件备查）。</w:t>
            </w:r>
          </w:p>
          <w:p>
            <w:pPr>
              <w:pStyle w:val="7"/>
              <w:widowControl/>
              <w:shd w:val="clear" w:color="auto" w:fill="FFFFFF"/>
              <w:spacing w:before="0" w:beforeAutospacing="0" w:after="0" w:afterAutospacing="0" w:line="15" w:lineRule="atLeast"/>
              <w:jc w:val="both"/>
              <w:rPr>
                <w:rFonts w:hint="eastAsia" w:ascii="仿宋" w:hAnsi="仿宋" w:eastAsia="仿宋" w:cs="仿宋"/>
                <w:color w:val="auto"/>
                <w:sz w:val="18"/>
                <w:szCs w:val="18"/>
              </w:rPr>
            </w:pPr>
            <w:r>
              <w:rPr>
                <w:rFonts w:hint="eastAsia" w:ascii="仿宋" w:hAnsi="仿宋" w:eastAsia="仿宋" w:cs="仿宋"/>
                <w:color w:val="auto"/>
                <w:sz w:val="18"/>
                <w:szCs w:val="18"/>
                <w:shd w:val="clear" w:color="auto" w:fill="FFFFFF"/>
              </w:rPr>
              <w:t>3）、参与本项目投标前三年内，在经营活动中没有重大违法记录（由供应商在《政府采购投标及履约承诺函》中作出声明）。</w:t>
            </w:r>
          </w:p>
          <w:p>
            <w:pPr>
              <w:pStyle w:val="7"/>
              <w:widowControl/>
              <w:shd w:val="clear" w:color="auto" w:fill="FFFFFF"/>
              <w:spacing w:before="0" w:beforeAutospacing="0" w:after="0" w:afterAutospacing="0" w:line="15" w:lineRule="atLeast"/>
              <w:jc w:val="both"/>
              <w:rPr>
                <w:rFonts w:hint="eastAsia" w:ascii="仿宋" w:hAnsi="仿宋" w:eastAsia="仿宋" w:cs="仿宋"/>
                <w:color w:val="auto"/>
                <w:sz w:val="18"/>
                <w:szCs w:val="18"/>
              </w:rPr>
            </w:pPr>
            <w:r>
              <w:rPr>
                <w:rFonts w:hint="eastAsia" w:ascii="仿宋" w:hAnsi="仿宋" w:eastAsia="仿宋" w:cs="仿宋"/>
                <w:color w:val="auto"/>
                <w:sz w:val="18"/>
                <w:szCs w:val="18"/>
                <w:shd w:val="clear" w:color="auto" w:fill="FFFFFF"/>
              </w:rPr>
              <w:t>4）、参与本项目政府采购活动时不存在被有关部门禁止参与政府采购活动且在有效期内的情况（由供应商在《政府采购投标及履约承诺函》中作出声明）。</w:t>
            </w:r>
          </w:p>
          <w:p>
            <w:pPr>
              <w:pStyle w:val="7"/>
              <w:widowControl/>
              <w:shd w:val="clear" w:color="auto" w:fill="FFFFFF"/>
              <w:spacing w:before="0" w:beforeAutospacing="0" w:after="0" w:afterAutospacing="0" w:line="15" w:lineRule="atLeast"/>
              <w:jc w:val="both"/>
              <w:rPr>
                <w:rFonts w:hint="eastAsia" w:ascii="仿宋" w:hAnsi="仿宋" w:eastAsia="仿宋" w:cs="仿宋"/>
                <w:color w:val="auto"/>
                <w:sz w:val="18"/>
                <w:szCs w:val="18"/>
              </w:rPr>
            </w:pPr>
            <w:r>
              <w:rPr>
                <w:rFonts w:hint="eastAsia" w:ascii="仿宋" w:hAnsi="仿宋" w:eastAsia="仿宋" w:cs="仿宋"/>
                <w:color w:val="auto"/>
                <w:sz w:val="18"/>
                <w:szCs w:val="18"/>
                <w:shd w:val="clear" w:color="auto" w:fill="FFFFFF"/>
              </w:rPr>
              <w:t>5）、供应商未被列入失信被执行人、重大税收违法案件当事人名单、政府采购严重违法失信行为记录名单（由供应商在《政府采购投标及履约承诺函》中作出声明）。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40" w:lineRule="auto"/>
              <w:ind w:right="0"/>
              <w:jc w:val="left"/>
              <w:rPr>
                <w:rFonts w:hint="eastAsia" w:ascii="仿宋" w:hAnsi="仿宋" w:eastAsia="仿宋" w:cs="仿宋"/>
                <w:b/>
                <w:color w:val="auto"/>
                <w:kern w:val="0"/>
                <w:szCs w:val="21"/>
                <w:highlight w:val="none"/>
              </w:rPr>
            </w:pPr>
            <w:r>
              <w:rPr>
                <w:rFonts w:hint="eastAsia" w:ascii="仿宋" w:hAnsi="仿宋" w:eastAsia="仿宋" w:cs="仿宋"/>
                <w:color w:val="auto"/>
                <w:sz w:val="18"/>
                <w:szCs w:val="18"/>
                <w:shd w:val="clear" w:color="auto" w:fill="FFFFFF"/>
              </w:rPr>
              <w:t>6）、本项目不接受联合体投标，不允许分包、转包。</w:t>
            </w:r>
            <w:r>
              <w:rPr>
                <w:rFonts w:hint="eastAsia" w:ascii="仿宋" w:hAnsi="仿宋" w:eastAsia="仿宋" w:cs="仿宋"/>
                <w:color w:val="auto"/>
                <w:sz w:val="18"/>
                <w:szCs w:val="18"/>
              </w:rPr>
              <w:t>（不接受投标人选用进口产品参与投标）</w:t>
            </w:r>
            <w:r>
              <w:rPr>
                <w:rFonts w:hint="eastAsia" w:ascii="仿宋" w:hAnsi="仿宋" w:eastAsia="仿宋" w:cs="仿宋"/>
                <w:color w:val="auto"/>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1746"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auto"/>
                <w:kern w:val="0"/>
                <w:szCs w:val="21"/>
                <w:highlight w:val="none"/>
              </w:rPr>
            </w:pPr>
            <w:r>
              <w:rPr>
                <w:rFonts w:hint="eastAsia" w:ascii="仿宋" w:hAnsi="仿宋" w:eastAsia="仿宋" w:cs="仿宋"/>
                <w:bCs/>
                <w:color w:val="auto"/>
                <w:szCs w:val="21"/>
                <w:highlight w:val="none"/>
              </w:rPr>
              <w:t>需求内容</w:t>
            </w:r>
          </w:p>
        </w:tc>
        <w:tc>
          <w:tcPr>
            <w:tcW w:w="7221" w:type="dxa"/>
            <w:gridSpan w:val="4"/>
            <w:noWrap w:val="0"/>
            <w:vAlign w:val="top"/>
          </w:tcPr>
          <w:p>
            <w:pPr>
              <w:jc w:val="left"/>
              <w:rPr>
                <w:rFonts w:hint="eastAsia" w:ascii="仿宋" w:hAnsi="仿宋" w:eastAsia="仿宋" w:cs="仿宋"/>
                <w:b/>
                <w:bCs w:val="0"/>
                <w:sz w:val="18"/>
                <w:szCs w:val="18"/>
              </w:rPr>
            </w:pPr>
            <w:r>
              <w:rPr>
                <w:rFonts w:hint="eastAsia" w:ascii="仿宋" w:hAnsi="仿宋" w:eastAsia="仿宋" w:cs="仿宋"/>
                <w:b/>
                <w:bCs w:val="0"/>
                <w:sz w:val="18"/>
                <w:szCs w:val="18"/>
              </w:rPr>
              <w:t>*1、报价要求：</w:t>
            </w:r>
          </w:p>
          <w:p>
            <w:pPr>
              <w:jc w:val="left"/>
              <w:rPr>
                <w:rFonts w:hint="eastAsia" w:ascii="仿宋" w:hAnsi="仿宋" w:eastAsia="仿宋" w:cs="仿宋"/>
                <w:sz w:val="18"/>
                <w:szCs w:val="18"/>
              </w:rPr>
            </w:pPr>
            <w:r>
              <w:rPr>
                <w:rFonts w:hint="eastAsia" w:ascii="仿宋" w:hAnsi="仿宋" w:eastAsia="仿宋" w:cs="仿宋"/>
                <w:sz w:val="18"/>
                <w:szCs w:val="18"/>
              </w:rPr>
              <w:t>标准：投标总价（人民币）须是完成该项目的一切费用总和；</w:t>
            </w:r>
          </w:p>
          <w:p>
            <w:pPr>
              <w:jc w:val="left"/>
              <w:rPr>
                <w:rFonts w:hint="eastAsia" w:ascii="仿宋" w:hAnsi="仿宋" w:eastAsia="仿宋" w:cs="仿宋"/>
                <w:sz w:val="18"/>
                <w:szCs w:val="18"/>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1</w:t>
            </w:r>
            <w:r>
              <w:rPr>
                <w:rFonts w:hint="eastAsia" w:ascii="仿宋" w:hAnsi="仿宋" w:eastAsia="仿宋" w:cs="仿宋"/>
                <w:sz w:val="18"/>
                <w:szCs w:val="18"/>
                <w:lang w:eastAsia="zh-CN"/>
              </w:rPr>
              <w:t>）本项目总价款限额为</w:t>
            </w:r>
            <w:r>
              <w:rPr>
                <w:rFonts w:hint="eastAsia" w:ascii="仿宋" w:hAnsi="仿宋" w:eastAsia="仿宋" w:cs="仿宋"/>
                <w:sz w:val="18"/>
                <w:szCs w:val="18"/>
              </w:rPr>
              <w:t>人民币</w:t>
            </w:r>
            <w:r>
              <w:rPr>
                <w:rFonts w:hint="eastAsia" w:ascii="仿宋" w:hAnsi="仿宋" w:eastAsia="仿宋" w:cs="仿宋"/>
                <w:sz w:val="18"/>
                <w:szCs w:val="18"/>
                <w:lang w:val="en-US" w:eastAsia="zh-CN"/>
              </w:rPr>
              <w:t>42.16</w:t>
            </w:r>
            <w:r>
              <w:rPr>
                <w:rFonts w:hint="eastAsia" w:ascii="仿宋" w:hAnsi="仿宋" w:eastAsia="仿宋" w:cs="仿宋"/>
                <w:sz w:val="18"/>
                <w:szCs w:val="18"/>
              </w:rPr>
              <w:t>万元，报价不得超过预算金额</w:t>
            </w:r>
            <w:r>
              <w:rPr>
                <w:rFonts w:hint="eastAsia" w:ascii="仿宋" w:hAnsi="仿宋" w:eastAsia="仿宋" w:cs="仿宋"/>
                <w:sz w:val="18"/>
                <w:szCs w:val="18"/>
                <w:lang w:val="en-US" w:eastAsia="zh-CN"/>
              </w:rPr>
              <w:t>42.16</w:t>
            </w:r>
            <w:r>
              <w:rPr>
                <w:rFonts w:hint="eastAsia" w:ascii="仿宋" w:hAnsi="仿宋" w:eastAsia="仿宋" w:cs="仿宋"/>
                <w:sz w:val="18"/>
                <w:szCs w:val="18"/>
              </w:rPr>
              <w:t>万元，超过此金额报价无效。</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r>
              <w:rPr>
                <w:rFonts w:hint="default" w:ascii="仿宋" w:hAnsi="仿宋" w:eastAsia="仿宋" w:cs="仿宋"/>
                <w:sz w:val="18"/>
                <w:szCs w:val="18"/>
                <w:lang w:eastAsia="zh-CN"/>
              </w:rPr>
              <w:t>2</w:t>
            </w:r>
            <w:r>
              <w:rPr>
                <w:rFonts w:hint="eastAsia" w:ascii="仿宋" w:hAnsi="仿宋" w:eastAsia="仿宋" w:cs="仿宋"/>
                <w:sz w:val="18"/>
                <w:szCs w:val="18"/>
                <w:lang w:val="en-US" w:eastAsia="zh-CN"/>
              </w:rPr>
              <w:t>）采购方有权随时要求刊登通告，不同时间段刊登所产生的费用综合考虑列入相关的综合单价中，中标方不得因此获得补偿或赔偿。</w:t>
            </w:r>
          </w:p>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w:t>
            </w:r>
            <w:r>
              <w:rPr>
                <w:rFonts w:hint="default" w:ascii="仿宋" w:hAnsi="仿宋" w:eastAsia="仿宋" w:cs="仿宋"/>
                <w:sz w:val="18"/>
                <w:szCs w:val="18"/>
                <w:lang w:eastAsia="zh-CN"/>
              </w:rPr>
              <w:t>3</w:t>
            </w:r>
            <w:r>
              <w:rPr>
                <w:rFonts w:hint="eastAsia" w:ascii="仿宋" w:hAnsi="仿宋" w:eastAsia="仿宋" w:cs="仿宋"/>
                <w:sz w:val="18"/>
                <w:szCs w:val="18"/>
                <w:lang w:val="en-US" w:eastAsia="zh-CN"/>
              </w:rPr>
              <w:t>）投标人的投标报价，应是招标文件上所列的各项内容中所述的全部，不得以任何理由予以重复，并以投标方在项目费用支出清单中提出综合单价或总价为依据。</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r>
              <w:rPr>
                <w:rFonts w:hint="default" w:ascii="仿宋" w:hAnsi="仿宋" w:eastAsia="仿宋" w:cs="仿宋"/>
                <w:sz w:val="18"/>
                <w:szCs w:val="18"/>
                <w:lang w:eastAsia="zh-CN"/>
              </w:rPr>
              <w:t>4</w:t>
            </w:r>
            <w:r>
              <w:rPr>
                <w:rFonts w:hint="eastAsia" w:ascii="仿宋" w:hAnsi="仿宋" w:eastAsia="仿宋" w:cs="仿宋"/>
                <w:sz w:val="18"/>
                <w:szCs w:val="18"/>
                <w:lang w:val="en-US" w:eastAsia="zh-CN"/>
              </w:rPr>
              <w:t>）根据采购方指定的刊登时间、版面规格、版位的不同，版面费用会相应不同。版面数量目标为25个，在预算金额内允许版面数量有所浮动，具体以实际为准；版面规格以采购方提供稿件篇幅大小为基准；刊登时间以采购方指定时间为准；版面费用单价以中标方报价为准；实际刊登费用，必须严格对应版面规格和数量，据实结算，当年累计刊登费用不得超过项目预算金额。</w:t>
            </w:r>
          </w:p>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w:t>
            </w:r>
            <w:r>
              <w:rPr>
                <w:rFonts w:hint="default" w:ascii="仿宋" w:hAnsi="仿宋" w:eastAsia="仿宋" w:cs="仿宋"/>
                <w:sz w:val="18"/>
                <w:szCs w:val="18"/>
                <w:lang w:eastAsia="zh-CN"/>
              </w:rPr>
              <w:t>5</w:t>
            </w:r>
            <w:r>
              <w:rPr>
                <w:rFonts w:hint="eastAsia" w:ascii="仿宋" w:hAnsi="仿宋" w:eastAsia="仿宋" w:cs="仿宋"/>
                <w:sz w:val="18"/>
                <w:szCs w:val="18"/>
                <w:lang w:val="en-US" w:eastAsia="zh-CN"/>
              </w:rPr>
              <w:t>）常用版面规格及对应价格参考如下，投标方报价方案中应包含但不限于以下版面对应的单价：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960"/>
              <w:gridCol w:w="1140"/>
              <w:gridCol w:w="1035"/>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noWrap w:val="0"/>
                  <w:vAlign w:val="center"/>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报刊</w:t>
                  </w:r>
                </w:p>
              </w:tc>
              <w:tc>
                <w:tcPr>
                  <w:tcW w:w="960" w:type="dxa"/>
                  <w:noWrap w:val="0"/>
                  <w:vAlign w:val="center"/>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规格（㎝）</w:t>
                  </w:r>
                </w:p>
              </w:tc>
              <w:tc>
                <w:tcPr>
                  <w:tcW w:w="1140" w:type="dxa"/>
                  <w:noWrap w:val="0"/>
                  <w:vAlign w:val="center"/>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周一至周三价格（元）</w:t>
                  </w:r>
                </w:p>
              </w:tc>
              <w:tc>
                <w:tcPr>
                  <w:tcW w:w="1035" w:type="dxa"/>
                  <w:noWrap w:val="0"/>
                  <w:vAlign w:val="center"/>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周四价格（元）</w:t>
                  </w:r>
                </w:p>
              </w:tc>
              <w:tc>
                <w:tcPr>
                  <w:tcW w:w="1276" w:type="dxa"/>
                  <w:noWrap w:val="0"/>
                  <w:vAlign w:val="center"/>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周五价格（元）</w:t>
                  </w:r>
                </w:p>
              </w:tc>
              <w:tc>
                <w:tcPr>
                  <w:tcW w:w="1276" w:type="dxa"/>
                  <w:noWrap w:val="0"/>
                  <w:vAlign w:val="center"/>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周六周日</w:t>
                  </w:r>
                </w:p>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restart"/>
                  <w:noWrap w:val="0"/>
                  <w:vAlign w:val="center"/>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深圳商报</w:t>
                  </w: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7*14.5</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6294</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6610</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6925</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noWrap w:val="0"/>
                  <w:vAlign w:val="center"/>
                </w:tcPr>
                <w:p>
                  <w:pPr>
                    <w:jc w:val="left"/>
                    <w:rPr>
                      <w:rFonts w:hint="eastAsia"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10*14.5</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8388</w:t>
                  </w:r>
                </w:p>
              </w:tc>
              <w:tc>
                <w:tcPr>
                  <w:tcW w:w="1035" w:type="dxa"/>
                  <w:noWrap w:val="0"/>
                  <w:vAlign w:val="top"/>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8807</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9226</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 w:type="dxa"/>
                  <w:vMerge w:val="continue"/>
                  <w:noWrap w:val="0"/>
                  <w:vAlign w:val="center"/>
                </w:tcPr>
                <w:p>
                  <w:pPr>
                    <w:jc w:val="left"/>
                    <w:rPr>
                      <w:rFonts w:hint="default"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12*14.5</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10488</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11011</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11538</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noWrap w:val="0"/>
                  <w:vAlign w:val="top"/>
                </w:tcPr>
                <w:p>
                  <w:pPr>
                    <w:jc w:val="left"/>
                    <w:rPr>
                      <w:rFonts w:hint="default" w:ascii="仿宋" w:hAnsi="仿宋" w:eastAsia="仿宋" w:cs="仿宋"/>
                      <w:sz w:val="18"/>
                      <w:szCs w:val="18"/>
                      <w:lang w:val="en-US" w:eastAsia="zh-CN"/>
                    </w:rPr>
                  </w:pPr>
                </w:p>
              </w:tc>
              <w:tc>
                <w:tcPr>
                  <w:tcW w:w="960" w:type="dxa"/>
                  <w:noWrap w:val="0"/>
                  <w:vAlign w:val="top"/>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14*14.5</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12583</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13214</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13839</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noWrap w:val="0"/>
                  <w:vAlign w:val="top"/>
                </w:tcPr>
                <w:p>
                  <w:pPr>
                    <w:jc w:val="left"/>
                    <w:rPr>
                      <w:rFonts w:hint="eastAsia"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18*14.5</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16782</w:t>
                  </w:r>
                </w:p>
              </w:tc>
              <w:tc>
                <w:tcPr>
                  <w:tcW w:w="1035" w:type="dxa"/>
                  <w:noWrap w:val="0"/>
                  <w:vAlign w:val="top"/>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17620</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18463</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noWrap w:val="0"/>
                  <w:vAlign w:val="top"/>
                </w:tcPr>
                <w:p>
                  <w:pPr>
                    <w:jc w:val="left"/>
                    <w:rPr>
                      <w:rFonts w:hint="eastAsia"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24*14.5</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25165</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26422</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27684</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 w:type="dxa"/>
                  <w:vMerge w:val="continue"/>
                  <w:noWrap w:val="0"/>
                  <w:vAlign w:val="top"/>
                </w:tcPr>
                <w:p>
                  <w:pPr>
                    <w:jc w:val="left"/>
                    <w:rPr>
                      <w:rFonts w:hint="eastAsia"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16*29.5</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33559</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35235</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36916</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16782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restart"/>
                  <w:noWrap w:val="0"/>
                  <w:vAlign w:val="center"/>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深圳特区报</w:t>
                  </w: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8*17</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9324</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9792</w:t>
                  </w:r>
                </w:p>
              </w:tc>
              <w:tc>
                <w:tcPr>
                  <w:tcW w:w="1276" w:type="dxa"/>
                  <w:noWrap w:val="0"/>
                  <w:vAlign w:val="top"/>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10260</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4662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noWrap w:val="0"/>
                  <w:vAlign w:val="top"/>
                </w:tcPr>
                <w:p>
                  <w:pPr>
                    <w:jc w:val="left"/>
                    <w:rPr>
                      <w:rFonts w:hint="default"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10*17</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11657</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12240</w:t>
                  </w:r>
                </w:p>
              </w:tc>
              <w:tc>
                <w:tcPr>
                  <w:tcW w:w="1276" w:type="dxa"/>
                  <w:noWrap w:val="0"/>
                  <w:vAlign w:val="top"/>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12822</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5826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noWrap w:val="0"/>
                  <w:vAlign w:val="top"/>
                </w:tcPr>
                <w:p>
                  <w:pPr>
                    <w:jc w:val="left"/>
                    <w:rPr>
                      <w:rFonts w:hint="eastAsia"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12*17</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13986</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14688</w:t>
                  </w:r>
                </w:p>
              </w:tc>
              <w:tc>
                <w:tcPr>
                  <w:tcW w:w="1276" w:type="dxa"/>
                  <w:noWrap w:val="0"/>
                  <w:vAlign w:val="top"/>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15384</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6996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6" w:type="dxa"/>
                  <w:vMerge w:val="continue"/>
                  <w:noWrap w:val="0"/>
                  <w:vAlign w:val="top"/>
                </w:tcPr>
                <w:p>
                  <w:pPr>
                    <w:jc w:val="left"/>
                    <w:rPr>
                      <w:rFonts w:hint="eastAsia"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16*17</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18643</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19579</w:t>
                  </w:r>
                </w:p>
              </w:tc>
              <w:tc>
                <w:tcPr>
                  <w:tcW w:w="1276" w:type="dxa"/>
                  <w:noWrap w:val="0"/>
                  <w:vAlign w:val="top"/>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20509</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9324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6" w:type="dxa"/>
                  <w:vMerge w:val="continue"/>
                  <w:noWrap w:val="0"/>
                  <w:vAlign w:val="top"/>
                </w:tcPr>
                <w:p>
                  <w:pPr>
                    <w:jc w:val="left"/>
                    <w:rPr>
                      <w:rFonts w:hint="eastAsia" w:ascii="仿宋" w:hAnsi="仿宋" w:eastAsia="仿宋" w:cs="仿宋"/>
                      <w:sz w:val="18"/>
                      <w:szCs w:val="18"/>
                      <w:lang w:val="en-US" w:eastAsia="zh-CN"/>
                    </w:rPr>
                  </w:pPr>
                </w:p>
              </w:tc>
              <w:tc>
                <w:tcPr>
                  <w:tcW w:w="96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24*17</w:t>
                  </w:r>
                </w:p>
              </w:tc>
              <w:tc>
                <w:tcPr>
                  <w:tcW w:w="1140"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27967</w:t>
                  </w:r>
                </w:p>
              </w:tc>
              <w:tc>
                <w:tcPr>
                  <w:tcW w:w="1035"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29365</w:t>
                  </w:r>
                </w:p>
              </w:tc>
              <w:tc>
                <w:tcPr>
                  <w:tcW w:w="1276" w:type="dxa"/>
                  <w:noWrap w:val="0"/>
                  <w:vAlign w:val="top"/>
                </w:tcPr>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30763</w:t>
                  </w:r>
                </w:p>
              </w:tc>
              <w:tc>
                <w:tcPr>
                  <w:tcW w:w="1276" w:type="dxa"/>
                  <w:noWrap w:val="0"/>
                  <w:vAlign w:val="top"/>
                </w:tcPr>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13986</w:t>
                  </w:r>
                </w:p>
              </w:tc>
            </w:tr>
          </w:tbl>
          <w:p>
            <w:pPr>
              <w:jc w:val="left"/>
              <w:rPr>
                <w:rFonts w:hint="eastAsia" w:ascii="仿宋" w:hAnsi="仿宋" w:eastAsia="仿宋" w:cs="仿宋"/>
                <w:b/>
                <w:bCs w:val="0"/>
                <w:sz w:val="18"/>
                <w:szCs w:val="18"/>
              </w:rPr>
            </w:pPr>
            <w:r>
              <w:rPr>
                <w:rFonts w:hint="eastAsia" w:ascii="仿宋" w:hAnsi="仿宋" w:eastAsia="仿宋" w:cs="仿宋"/>
                <w:b/>
                <w:bCs w:val="0"/>
                <w:sz w:val="18"/>
                <w:szCs w:val="18"/>
              </w:rPr>
              <w:t>*2、付款方式：</w:t>
            </w:r>
          </w:p>
          <w:p>
            <w:pPr>
              <w:jc w:val="left"/>
              <w:rPr>
                <w:rFonts w:hint="eastAsia" w:ascii="仿宋" w:hAnsi="仿宋" w:eastAsia="仿宋" w:cs="仿宋"/>
                <w:sz w:val="18"/>
                <w:szCs w:val="18"/>
              </w:rPr>
            </w:pPr>
            <w:r>
              <w:rPr>
                <w:rFonts w:hint="eastAsia" w:ascii="仿宋" w:hAnsi="仿宋" w:eastAsia="仿宋" w:cs="仿宋"/>
                <w:sz w:val="18"/>
                <w:szCs w:val="18"/>
              </w:rPr>
              <w:t>（1）通过本合同首次指定的双方银行账号进行。中标方开具的结算单和发票为本合同下的法定结算凭证。</w:t>
            </w:r>
          </w:p>
          <w:p>
            <w:pPr>
              <w:jc w:val="left"/>
              <w:rPr>
                <w:rFonts w:hint="eastAsia" w:ascii="仿宋" w:hAnsi="仿宋" w:eastAsia="仿宋" w:cs="仿宋"/>
                <w:sz w:val="18"/>
                <w:szCs w:val="18"/>
                <w:lang w:val="en-US" w:eastAsia="zh-CN"/>
              </w:rPr>
            </w:pPr>
            <w:r>
              <w:rPr>
                <w:rFonts w:hint="eastAsia" w:ascii="仿宋" w:hAnsi="仿宋" w:eastAsia="仿宋" w:cs="仿宋"/>
                <w:sz w:val="18"/>
                <w:szCs w:val="18"/>
              </w:rPr>
              <w:t>（2）</w:t>
            </w:r>
            <w:r>
              <w:rPr>
                <w:rFonts w:hint="eastAsia" w:ascii="仿宋" w:hAnsi="仿宋" w:eastAsia="仿宋" w:cs="仿宋"/>
                <w:sz w:val="18"/>
                <w:szCs w:val="18"/>
                <w:lang w:val="en-US" w:eastAsia="zh-CN"/>
              </w:rPr>
              <w:t>服务费用不超过42.16万，按季度据实结算，具体结算日期由双方商议决定，具体支付方式以合同约定为准，实际使用服务费用达到42.16万，合同将提前终止。</w:t>
            </w:r>
          </w:p>
          <w:p>
            <w:pPr>
              <w:jc w:val="left"/>
              <w:rPr>
                <w:rFonts w:hint="eastAsia" w:ascii="仿宋" w:hAnsi="仿宋" w:eastAsia="仿宋" w:cs="仿宋"/>
                <w:sz w:val="18"/>
                <w:szCs w:val="18"/>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3</w:t>
            </w:r>
            <w:r>
              <w:rPr>
                <w:rFonts w:hint="eastAsia" w:ascii="仿宋" w:hAnsi="仿宋" w:eastAsia="仿宋" w:cs="仿宋"/>
                <w:sz w:val="18"/>
                <w:szCs w:val="18"/>
                <w:lang w:eastAsia="zh-CN"/>
              </w:rPr>
              <w:t>）</w:t>
            </w:r>
            <w:r>
              <w:rPr>
                <w:rFonts w:hint="eastAsia" w:ascii="仿宋" w:hAnsi="仿宋" w:eastAsia="仿宋" w:cs="仿宋"/>
                <w:sz w:val="18"/>
                <w:szCs w:val="18"/>
              </w:rPr>
              <w:t>结算金额按照实际发生金额为准，且结算时由中标方开具的费用结算单及发票交采购方办理结算手续。</w:t>
            </w:r>
          </w:p>
          <w:p>
            <w:pPr>
              <w:jc w:val="left"/>
              <w:rPr>
                <w:rFonts w:hint="eastAsia" w:ascii="仿宋" w:hAnsi="仿宋" w:eastAsia="仿宋" w:cs="仿宋"/>
                <w:sz w:val="18"/>
                <w:szCs w:val="18"/>
                <w:lang w:eastAsia="zh-CN"/>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4</w:t>
            </w:r>
            <w:r>
              <w:rPr>
                <w:rFonts w:hint="eastAsia" w:ascii="仿宋" w:hAnsi="仿宋" w:eastAsia="仿宋" w:cs="仿宋"/>
                <w:sz w:val="18"/>
                <w:szCs w:val="18"/>
                <w:lang w:eastAsia="zh-CN"/>
              </w:rPr>
              <w:t>）因财政部门的原因导致</w:t>
            </w:r>
            <w:r>
              <w:rPr>
                <w:rFonts w:hint="eastAsia" w:ascii="仿宋" w:hAnsi="仿宋" w:eastAsia="仿宋" w:cs="仿宋"/>
                <w:sz w:val="18"/>
                <w:szCs w:val="18"/>
                <w:lang w:val="en-US" w:eastAsia="zh-Hans"/>
              </w:rPr>
              <w:t>采购</w:t>
            </w:r>
            <w:r>
              <w:rPr>
                <w:rFonts w:hint="eastAsia" w:ascii="仿宋" w:hAnsi="仿宋" w:eastAsia="仿宋" w:cs="仿宋"/>
                <w:sz w:val="18"/>
                <w:szCs w:val="18"/>
                <w:lang w:eastAsia="zh-CN"/>
              </w:rPr>
              <w:t>方未按照合同约定付款的，</w:t>
            </w:r>
            <w:r>
              <w:rPr>
                <w:rFonts w:hint="eastAsia" w:ascii="仿宋" w:hAnsi="仿宋" w:eastAsia="仿宋" w:cs="仿宋"/>
                <w:sz w:val="18"/>
                <w:szCs w:val="18"/>
                <w:lang w:val="en-US" w:eastAsia="zh-Hans"/>
              </w:rPr>
              <w:t>采购</w:t>
            </w:r>
            <w:r>
              <w:rPr>
                <w:rFonts w:hint="eastAsia" w:ascii="仿宋" w:hAnsi="仿宋" w:eastAsia="仿宋" w:cs="仿宋"/>
                <w:sz w:val="18"/>
                <w:szCs w:val="18"/>
                <w:lang w:eastAsia="zh-CN"/>
              </w:rPr>
              <w:t>方不承担任何违约责任。</w:t>
            </w:r>
            <w:r>
              <w:rPr>
                <w:rFonts w:hint="eastAsia" w:ascii="仿宋" w:hAnsi="仿宋" w:eastAsia="仿宋" w:cs="仿宋"/>
                <w:sz w:val="18"/>
                <w:szCs w:val="18"/>
                <w:lang w:val="en-US" w:eastAsia="zh-Hans"/>
              </w:rPr>
              <w:t>采购</w:t>
            </w:r>
            <w:r>
              <w:rPr>
                <w:rFonts w:hint="eastAsia" w:ascii="仿宋" w:hAnsi="仿宋" w:eastAsia="仿宋" w:cs="仿宋"/>
                <w:sz w:val="18"/>
                <w:szCs w:val="18"/>
                <w:lang w:eastAsia="zh-CN"/>
              </w:rPr>
              <w:t>方付款前，</w:t>
            </w:r>
            <w:r>
              <w:rPr>
                <w:rFonts w:hint="eastAsia" w:ascii="仿宋" w:hAnsi="仿宋" w:eastAsia="仿宋" w:cs="仿宋"/>
                <w:sz w:val="18"/>
                <w:szCs w:val="18"/>
                <w:lang w:val="en-US" w:eastAsia="zh-Hans"/>
              </w:rPr>
              <w:t>中标</w:t>
            </w:r>
            <w:r>
              <w:rPr>
                <w:rFonts w:hint="eastAsia" w:ascii="仿宋" w:hAnsi="仿宋" w:eastAsia="仿宋" w:cs="仿宋"/>
                <w:sz w:val="18"/>
                <w:szCs w:val="18"/>
                <w:lang w:eastAsia="zh-CN"/>
              </w:rPr>
              <w:t>方未及时向甲方提供合法、有效的等额完税发票或者</w:t>
            </w:r>
            <w:r>
              <w:rPr>
                <w:rFonts w:hint="eastAsia" w:ascii="仿宋" w:hAnsi="仿宋" w:eastAsia="仿宋" w:cs="仿宋"/>
                <w:sz w:val="18"/>
                <w:szCs w:val="18"/>
                <w:lang w:val="en-US" w:eastAsia="zh-Hans"/>
              </w:rPr>
              <w:t>中标</w:t>
            </w:r>
            <w:r>
              <w:rPr>
                <w:rFonts w:hint="eastAsia" w:ascii="仿宋" w:hAnsi="仿宋" w:eastAsia="仿宋" w:cs="仿宋"/>
                <w:sz w:val="18"/>
                <w:szCs w:val="18"/>
                <w:lang w:eastAsia="zh-CN"/>
              </w:rPr>
              <w:t>方提供的资料不全、不符合甲方要求的，由</w:t>
            </w:r>
            <w:r>
              <w:rPr>
                <w:rFonts w:hint="eastAsia" w:ascii="仿宋" w:hAnsi="仿宋" w:eastAsia="仿宋" w:cs="仿宋"/>
                <w:sz w:val="18"/>
                <w:szCs w:val="18"/>
                <w:lang w:val="en-US" w:eastAsia="zh-Hans"/>
              </w:rPr>
              <w:t>中标</w:t>
            </w:r>
            <w:r>
              <w:rPr>
                <w:rFonts w:hint="eastAsia" w:ascii="仿宋" w:hAnsi="仿宋" w:eastAsia="仿宋" w:cs="仿宋"/>
                <w:sz w:val="18"/>
                <w:szCs w:val="18"/>
                <w:lang w:eastAsia="zh-CN"/>
              </w:rPr>
              <w:t>方自行承担延迟付款责任，</w:t>
            </w:r>
            <w:r>
              <w:rPr>
                <w:rFonts w:hint="eastAsia" w:ascii="仿宋" w:hAnsi="仿宋" w:eastAsia="仿宋" w:cs="仿宋"/>
                <w:sz w:val="18"/>
                <w:szCs w:val="18"/>
                <w:lang w:val="en-US" w:eastAsia="zh-Hans"/>
              </w:rPr>
              <w:t>采购</w:t>
            </w:r>
            <w:r>
              <w:rPr>
                <w:rFonts w:hint="eastAsia" w:ascii="仿宋" w:hAnsi="仿宋" w:eastAsia="仿宋" w:cs="仿宋"/>
                <w:sz w:val="18"/>
                <w:szCs w:val="18"/>
                <w:lang w:eastAsia="zh-CN"/>
              </w:rPr>
              <w:t>方不承担任何违约责任。</w:t>
            </w:r>
          </w:p>
          <w:p>
            <w:pPr>
              <w:jc w:val="left"/>
              <w:rPr>
                <w:rFonts w:hint="eastAsia" w:ascii="仿宋" w:hAnsi="仿宋" w:eastAsia="仿宋" w:cs="仿宋"/>
                <w:sz w:val="18"/>
                <w:szCs w:val="18"/>
              </w:rPr>
            </w:pP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5</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付款材料：发票、刊登清单、认刊书、报样，项目末阶段结算时需提供验收报告。</w:t>
            </w:r>
          </w:p>
          <w:p>
            <w:pPr>
              <w:jc w:val="left"/>
              <w:rPr>
                <w:rFonts w:ascii="仿宋" w:hAnsi="仿宋" w:eastAsia="仿宋" w:cs="仿宋"/>
                <w:sz w:val="18"/>
                <w:szCs w:val="18"/>
              </w:rPr>
            </w:pPr>
            <w:r>
              <w:rPr>
                <w:rFonts w:hint="eastAsia" w:ascii="仿宋" w:hAnsi="仿宋" w:eastAsia="仿宋" w:cs="仿宋"/>
                <w:b/>
                <w:bCs w:val="0"/>
                <w:sz w:val="18"/>
                <w:szCs w:val="18"/>
              </w:rPr>
              <w:t>*3、履约保证金：</w:t>
            </w:r>
            <w:r>
              <w:rPr>
                <w:rFonts w:hint="eastAsia" w:ascii="仿宋" w:hAnsi="仿宋" w:eastAsia="仿宋" w:cs="仿宋"/>
                <w:sz w:val="18"/>
                <w:szCs w:val="18"/>
              </w:rPr>
              <w:t>无。</w:t>
            </w:r>
          </w:p>
          <w:p>
            <w:pPr>
              <w:outlineLvl w:val="0"/>
              <w:rPr>
                <w:rFonts w:hint="eastAsia" w:ascii="仿宋" w:hAnsi="仿宋" w:eastAsia="仿宋" w:cs="仿宋"/>
                <w:b/>
                <w:sz w:val="18"/>
                <w:szCs w:val="18"/>
              </w:rPr>
            </w:pPr>
            <w:r>
              <w:rPr>
                <w:rFonts w:hint="eastAsia" w:ascii="仿宋" w:hAnsi="仿宋" w:eastAsia="仿宋" w:cs="仿宋"/>
                <w:b/>
                <w:bCs w:val="0"/>
                <w:sz w:val="18"/>
                <w:szCs w:val="18"/>
              </w:rPr>
              <w:t>*4、违约责任：</w:t>
            </w:r>
            <w:r>
              <w:rPr>
                <w:rFonts w:hint="eastAsia" w:ascii="仿宋" w:hAnsi="仿宋" w:eastAsia="仿宋" w:cs="仿宋"/>
                <w:sz w:val="18"/>
                <w:szCs w:val="18"/>
              </w:rPr>
              <w:t>以双方合同约定为准。</w:t>
            </w:r>
          </w:p>
          <w:p>
            <w:pPr>
              <w:keepNext w:val="0"/>
              <w:keepLines w:val="0"/>
              <w:pageBreakBefore w:val="0"/>
              <w:widowControl w:val="0"/>
              <w:kinsoku/>
              <w:overflowPunct/>
              <w:topLinePunct w:val="0"/>
              <w:autoSpaceDE/>
              <w:autoSpaceDN/>
              <w:bidi w:val="0"/>
              <w:jc w:val="left"/>
              <w:rPr>
                <w:rFonts w:hint="default" w:ascii="仿宋" w:hAnsi="仿宋" w:eastAsia="仿宋" w:cs="仿宋"/>
                <w:color w:val="auto"/>
                <w:szCs w:val="21"/>
                <w:highlight w:val="none"/>
                <w:lang w:val="en-US" w:eastAsia="zh-CN"/>
              </w:rPr>
            </w:pPr>
            <w:r>
              <w:rPr>
                <w:rFonts w:hint="eastAsia" w:ascii="仿宋" w:hAnsi="仿宋" w:eastAsia="仿宋" w:cs="仿宋"/>
                <w:b/>
                <w:bCs w:val="0"/>
                <w:sz w:val="18"/>
                <w:szCs w:val="18"/>
              </w:rPr>
              <w:t>*5、服务质量监督和项目验收要求：</w:t>
            </w:r>
            <w:r>
              <w:rPr>
                <w:rFonts w:hint="eastAsia" w:ascii="仿宋" w:hAnsi="仿宋" w:eastAsia="仿宋" w:cs="仿宋"/>
                <w:sz w:val="18"/>
                <w:szCs w:val="18"/>
              </w:rPr>
              <w:t>详见合同。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1746" w:type="dxa"/>
            <w:noWrap w:val="0"/>
            <w:vAlign w:val="center"/>
          </w:tcPr>
          <w:p>
            <w:pPr>
              <w:jc w:val="center"/>
              <w:rPr>
                <w:rFonts w:hint="eastAsia" w:ascii="仿宋" w:hAnsi="仿宋" w:eastAsia="仿宋" w:cs="仿宋"/>
                <w:sz w:val="18"/>
                <w:szCs w:val="18"/>
                <w:lang w:val="en-US" w:eastAsia="zh-CN"/>
              </w:rPr>
            </w:pPr>
            <w:r>
              <w:rPr>
                <w:rFonts w:hint="eastAsia" w:ascii="仿宋" w:hAnsi="仿宋" w:eastAsia="仿宋" w:cs="仿宋"/>
                <w:bCs/>
                <w:color w:val="auto"/>
                <w:szCs w:val="21"/>
                <w:highlight w:val="none"/>
                <w:lang w:val="en-US" w:eastAsia="zh-CN"/>
              </w:rPr>
              <w:t>商务需求</w:t>
            </w:r>
          </w:p>
        </w:tc>
        <w:tc>
          <w:tcPr>
            <w:tcW w:w="7221" w:type="dxa"/>
            <w:gridSpan w:val="4"/>
            <w:noWrap w:val="0"/>
            <w:vAlign w:val="top"/>
          </w:tcPr>
          <w:p>
            <w:pPr>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1、项目概况</w:t>
            </w:r>
          </w:p>
          <w:p>
            <w:pPr>
              <w:ind w:firstLine="360" w:firstLineChars="20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根据《中华人民共和国城乡规划法》《广东省城乡规划条例》和《深圳市城市规划条例》等有关规定，城乡规划（总体规划、次分区规划、法定图则、详细蓝图等）报送审批前，组织编制机关应当依法将城乡规划草案予以公告，并采取论证会、听证会或其他方式征求专家和公众的意见，公告时间不得少于三十日。该环节是涉及规划调整的项目开展规划用地审批的法定前置条件。</w:t>
            </w:r>
          </w:p>
          <w:p>
            <w:pPr>
              <w:ind w:firstLine="360" w:firstLineChars="20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为规范政府及其工作部门公告活动，增强政府工作的透明度，促进依法行政，市政府于2000年10月20日发布《深圳市人民政府公告管理规定》（深圳市人民政府令第95号）。根据该规定第五条，市政府明确</w:t>
            </w:r>
            <w:r>
              <w:rPr>
                <w:rFonts w:hint="eastAsia" w:ascii="仿宋" w:hAnsi="仿宋" w:eastAsia="仿宋" w:cs="仿宋"/>
                <w:sz w:val="18"/>
                <w:szCs w:val="18"/>
                <w:lang w:val="en-US" w:eastAsia="zh-Hans"/>
              </w:rPr>
              <w:t>在</w:t>
            </w:r>
            <w:r>
              <w:rPr>
                <w:rFonts w:hint="eastAsia" w:ascii="仿宋" w:hAnsi="仿宋" w:eastAsia="仿宋" w:cs="仿宋"/>
                <w:sz w:val="18"/>
                <w:szCs w:val="18"/>
                <w:lang w:val="en-US" w:eastAsia="zh-CN"/>
              </w:rPr>
              <w:t>《深圳特区报》、《深圳商报》</w:t>
            </w:r>
            <w:r>
              <w:rPr>
                <w:rFonts w:hint="eastAsia" w:ascii="仿宋" w:hAnsi="仿宋" w:eastAsia="仿宋" w:cs="仿宋"/>
                <w:sz w:val="18"/>
                <w:szCs w:val="18"/>
                <w:lang w:val="en-US" w:eastAsia="zh-Hans"/>
              </w:rPr>
              <w:t>发布</w:t>
            </w:r>
            <w:r>
              <w:rPr>
                <w:rFonts w:hint="eastAsia" w:ascii="仿宋" w:hAnsi="仿宋" w:eastAsia="仿宋" w:cs="仿宋"/>
                <w:sz w:val="18"/>
                <w:szCs w:val="18"/>
                <w:lang w:val="en-US" w:eastAsia="zh-CN"/>
              </w:rPr>
              <w:t>政府公告。</w:t>
            </w:r>
          </w:p>
          <w:p>
            <w:pPr>
              <w:ind w:firstLine="360" w:firstLineChars="200"/>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目前，光明区肩负建设世界一流科学城和深圳北部中心的战略目标和重大使命，更多重大重点项目和民生工程将纳入建设计划，为确保项目顺利推进，须做好相关公开公示工作。</w:t>
            </w:r>
          </w:p>
          <w:p>
            <w:pPr>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2、项目所依据及参考的标准</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《中华人民共和国城乡规划法》</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《广东省城乡规划条例》</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《深圳市城市规划条例》</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《深圳市人民政府公告管理规定》</w:t>
            </w:r>
          </w:p>
          <w:p>
            <w:pPr>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3、项目采购范围</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光明</w:t>
            </w:r>
            <w:r>
              <w:rPr>
                <w:rFonts w:hint="default" w:ascii="仿宋" w:hAnsi="仿宋" w:eastAsia="仿宋" w:cs="仿宋"/>
                <w:sz w:val="18"/>
                <w:szCs w:val="18"/>
                <w:lang w:val="en-US" w:eastAsia="zh-CN"/>
              </w:rPr>
              <w:t>区内规划</w:t>
            </w:r>
            <w:r>
              <w:rPr>
                <w:rFonts w:hint="eastAsia" w:ascii="仿宋" w:hAnsi="仿宋" w:eastAsia="仿宋" w:cs="仿宋"/>
                <w:sz w:val="18"/>
                <w:szCs w:val="18"/>
                <w:lang w:val="en-US" w:eastAsia="zh-CN"/>
              </w:rPr>
              <w:t>和自然资源工作的</w:t>
            </w:r>
            <w:r>
              <w:rPr>
                <w:rFonts w:hint="default" w:ascii="仿宋" w:hAnsi="仿宋" w:eastAsia="仿宋" w:cs="仿宋"/>
                <w:sz w:val="18"/>
                <w:szCs w:val="18"/>
                <w:lang w:val="en-US" w:eastAsia="zh-CN"/>
              </w:rPr>
              <w:t>公开公示</w:t>
            </w:r>
            <w:r>
              <w:rPr>
                <w:rFonts w:hint="eastAsia" w:ascii="仿宋" w:hAnsi="仿宋" w:eastAsia="仿宋" w:cs="仿宋"/>
                <w:sz w:val="18"/>
                <w:szCs w:val="18"/>
                <w:lang w:val="en-US" w:eastAsia="zh-CN"/>
              </w:rPr>
              <w:t>事宜。</w:t>
            </w:r>
          </w:p>
          <w:p>
            <w:pPr>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4、项目服务期限</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自2025年4月7日至2026年4月7日止。</w:t>
            </w:r>
          </w:p>
          <w:p>
            <w:pPr>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5、组织实施要求</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1.项目成果要严格依照国家现有有关法律、法规及政策要求，符合相关的技术规范和标准。</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2.根据采购方的要求，在市级传统媒体（深圳特区报、深圳商报）刊登相关公示通告内容。</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3.工作内容主要包括公示通告的版面设计、版位安排、内容校对及刊登后回访等： </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（1）版面设计：根据采购方工作需要，选择黑白或彩色作为底版，并对公示通告中的文字、图片、线条、表格、色块等要素，按照一定的要求通过技术编排，使公众直观地了解公示通告所传递的信息。</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 xml:space="preserve">（2）版位安排：根据采购方工作要求，选择普通版位；若版面出现调动，及时沟通处理，严格按照采购方要求刊登相关内容。 </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内容校对：采购方将需公告的内容发至中标方，中标方按照提供的材料进行排版，排版后应将样稿反馈给采购方最终核校、签字确认方可刊登。若材料有变，中标方应根据采购方审核意见及时进行修改，确保刊登内容与采购方要求一致，中标方不得擅自修改刊登内容；中标方若在校对过程中发现刊登内容有差错，应及时提出意见和建议。</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（4）刊登后回访：中标方建立回访制度，并将公告样板留底，便于采购方随时查阅。</w:t>
            </w:r>
          </w:p>
          <w:p>
            <w:pPr>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6、售后服务内容、要求和期限</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本项目最后成果提交采购人且完成验收后进入售后服务期，要求提供1年的技术支持。安排专人负责售后技术支持，并提供其联系手机、电话、传真、Email；如人员需要调整应及时通知采购人；按采购人要求完成售后服务。</w:t>
            </w:r>
          </w:p>
          <w:p>
            <w:pPr>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7、人员要求</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1.中标方需安排专职人员参与项目的实施，在项目实施过程中不能更换，如确需更换，必须得到采购方的同意。</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2.中标方项目负责人如有不尽其职或虚名挂靠，采购方有权要求撤换，直至要求终止合同，由此造成的后果由中标单位负责。</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3.项目组成员应具有良好的职业道德和严谨的工作作风。</w:t>
            </w:r>
          </w:p>
          <w:p>
            <w:pPr>
              <w:jc w:val="left"/>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8、成果要求</w:t>
            </w:r>
          </w:p>
          <w:p>
            <w:pPr>
              <w:jc w:val="lef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1.完成合同期内所有刊登任务后，中标方须提供《深圳市规划和自然资源局光明管理局2025年公示通告刊登服务项目验收报告》。</w:t>
            </w:r>
          </w:p>
          <w:p>
            <w:pPr>
              <w:jc w:val="left"/>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2.成果形式具体为所有刊登任务的纸质版及电子版报样。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46" w:type="dxa"/>
            <w:vMerge w:val="restart"/>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其他要求</w:t>
            </w:r>
          </w:p>
        </w:tc>
        <w:tc>
          <w:tcPr>
            <w:tcW w:w="7221" w:type="dxa"/>
            <w:gridSpan w:val="4"/>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color w:val="auto"/>
                <w:kern w:val="0"/>
                <w:szCs w:val="21"/>
                <w:highlight w:val="none"/>
              </w:rPr>
            </w:pPr>
            <w:r>
              <w:rPr>
                <w:rFonts w:hint="eastAsia" w:ascii="仿宋" w:hAnsi="仿宋" w:eastAsia="仿宋" w:cs="仿宋"/>
                <w:b/>
                <w:color w:val="auto"/>
                <w:szCs w:val="21"/>
                <w:highlight w:val="none"/>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746" w:type="dxa"/>
            <w:vMerge w:val="continue"/>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auto"/>
                <w:kern w:val="0"/>
                <w:szCs w:val="21"/>
                <w:highlight w:val="none"/>
              </w:rPr>
            </w:pPr>
          </w:p>
        </w:tc>
        <w:tc>
          <w:tcPr>
            <w:tcW w:w="664" w:type="dxa"/>
            <w:vMerge w:val="restart"/>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auto"/>
                <w:kern w:val="0"/>
                <w:szCs w:val="21"/>
                <w:highlight w:val="none"/>
              </w:rPr>
            </w:pPr>
            <w:r>
              <w:rPr>
                <w:rFonts w:hint="eastAsia" w:ascii="仿宋" w:hAnsi="仿宋" w:eastAsia="仿宋" w:cs="仿宋"/>
                <w:bCs/>
                <w:color w:val="auto"/>
                <w:szCs w:val="21"/>
                <w:highlight w:val="none"/>
                <w:shd w:val="clear"/>
              </w:rPr>
              <w:t>特定供应商</w:t>
            </w: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default" w:ascii="仿宋" w:hAnsi="仿宋" w:eastAsia="仿宋" w:cs="仿宋"/>
                <w:bCs/>
                <w:color w:val="auto"/>
                <w:kern w:val="0"/>
                <w:szCs w:val="21"/>
                <w:highlight w:val="none"/>
                <w:lang w:val="en-US" w:eastAsia="zh-CN"/>
              </w:rPr>
            </w:pPr>
            <w:r>
              <w:rPr>
                <w:rFonts w:hint="eastAsia" w:ascii="仿宋" w:hAnsi="仿宋" w:eastAsia="仿宋" w:cs="仿宋"/>
                <w:bCs/>
                <w:color w:val="auto"/>
                <w:szCs w:val="21"/>
                <w:highlight w:val="none"/>
              </w:rPr>
              <w:t>单位名称：</w:t>
            </w:r>
            <w:r>
              <w:rPr>
                <w:rFonts w:hint="eastAsia" w:ascii="仿宋" w:hAnsi="仿宋" w:eastAsia="仿宋" w:cs="仿宋"/>
                <w:bCs/>
                <w:color w:val="auto"/>
                <w:szCs w:val="21"/>
                <w:highlight w:val="none"/>
                <w:lang w:val="en-US" w:eastAsia="zh-CN"/>
              </w:rPr>
              <w:t>深圳报业集团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Merge w:val="continue"/>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auto"/>
                <w:kern w:val="0"/>
                <w:szCs w:val="21"/>
                <w:highlight w:val="none"/>
              </w:rPr>
            </w:pPr>
          </w:p>
        </w:tc>
        <w:tc>
          <w:tcPr>
            <w:tcW w:w="664"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auto"/>
                <w:kern w:val="0"/>
                <w:szCs w:val="21"/>
                <w:highlight w:val="none"/>
              </w:rPr>
            </w:pP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auto"/>
                <w:kern w:val="0"/>
                <w:szCs w:val="21"/>
                <w:highlight w:val="none"/>
                <w:lang w:val="en-US" w:eastAsia="zh-CN"/>
              </w:rPr>
            </w:pPr>
            <w:r>
              <w:rPr>
                <w:rFonts w:hint="eastAsia" w:ascii="仿宋" w:hAnsi="仿宋" w:eastAsia="仿宋" w:cs="仿宋"/>
                <w:bCs/>
                <w:color w:val="auto"/>
                <w:szCs w:val="21"/>
                <w:highlight w:val="none"/>
              </w:rPr>
              <w:t>项目经办人：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46" w:type="dxa"/>
            <w:vMerge w:val="continue"/>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auto"/>
                <w:kern w:val="0"/>
                <w:szCs w:val="21"/>
                <w:highlight w:val="none"/>
              </w:rPr>
            </w:pPr>
          </w:p>
        </w:tc>
        <w:tc>
          <w:tcPr>
            <w:tcW w:w="664" w:type="dxa"/>
            <w:vMerge w:val="continue"/>
            <w:noWrap w:val="0"/>
            <w:vAlign w:val="top"/>
          </w:tcPr>
          <w:p>
            <w:pPr>
              <w:keepNext w:val="0"/>
              <w:keepLines w:val="0"/>
              <w:pageBreakBefore w:val="0"/>
              <w:widowControl w:val="0"/>
              <w:kinsoku/>
              <w:overflowPunct/>
              <w:topLinePunct w:val="0"/>
              <w:autoSpaceDE/>
              <w:autoSpaceDN/>
              <w:bidi w:val="0"/>
              <w:jc w:val="left"/>
              <w:rPr>
                <w:rFonts w:hint="eastAsia" w:ascii="仿宋" w:hAnsi="仿宋" w:eastAsia="仿宋" w:cs="仿宋"/>
                <w:bCs/>
                <w:color w:val="auto"/>
                <w:kern w:val="0"/>
                <w:szCs w:val="21"/>
                <w:highlight w:val="none"/>
              </w:rPr>
            </w:pPr>
          </w:p>
        </w:tc>
        <w:tc>
          <w:tcPr>
            <w:tcW w:w="6557" w:type="dxa"/>
            <w:gridSpan w:val="3"/>
            <w:noWrap w:val="0"/>
            <w:vAlign w:val="top"/>
          </w:tcPr>
          <w:p>
            <w:pPr>
              <w:keepNext w:val="0"/>
              <w:keepLines w:val="0"/>
              <w:pageBreakBefore w:val="0"/>
              <w:widowControl w:val="0"/>
              <w:kinsoku/>
              <w:overflowPunct/>
              <w:topLinePunct w:val="0"/>
              <w:autoSpaceDE/>
              <w:autoSpaceDN/>
              <w:bidi w:val="0"/>
              <w:jc w:val="left"/>
              <w:rPr>
                <w:rFonts w:hint="default" w:ascii="仿宋" w:hAnsi="仿宋" w:eastAsia="仿宋" w:cs="仿宋"/>
                <w:bCs/>
                <w:color w:val="auto"/>
                <w:kern w:val="0"/>
                <w:szCs w:val="21"/>
                <w:highlight w:val="none"/>
                <w:lang w:val="en-US" w:eastAsia="zh-CN"/>
              </w:rPr>
            </w:pPr>
            <w:r>
              <w:rPr>
                <w:rFonts w:hint="eastAsia" w:ascii="仿宋" w:hAnsi="仿宋" w:eastAsia="仿宋" w:cs="仿宋"/>
                <w:bCs/>
                <w:color w:val="auto"/>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46" w:type="dxa"/>
            <w:noWrap w:val="0"/>
            <w:vAlign w:val="center"/>
          </w:tcPr>
          <w:p>
            <w:pPr>
              <w:keepNext w:val="0"/>
              <w:keepLines w:val="0"/>
              <w:pageBreakBefore w:val="0"/>
              <w:widowControl w:val="0"/>
              <w:kinsoku/>
              <w:overflowPunct/>
              <w:topLinePunct w:val="0"/>
              <w:autoSpaceDE/>
              <w:autoSpaceDN/>
              <w:bidi w:val="0"/>
              <w:ind w:firstLine="210" w:firstLineChars="100"/>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评标信息</w:t>
            </w:r>
          </w:p>
        </w:tc>
        <w:tc>
          <w:tcPr>
            <w:tcW w:w="7221" w:type="dxa"/>
            <w:gridSpan w:val="4"/>
            <w:noWrap w:val="0"/>
            <w:vAlign w:val="top"/>
          </w:tcPr>
          <w:p>
            <w:pPr>
              <w:jc w:val="left"/>
              <w:rPr>
                <w:rFonts w:hint="eastAsia" w:ascii="仿宋" w:hAnsi="仿宋" w:eastAsia="仿宋" w:cs="仿宋"/>
                <w:b/>
                <w:bCs/>
                <w:sz w:val="18"/>
                <w:szCs w:val="18"/>
                <w:lang w:val="en-US" w:eastAsia="zh-Hans"/>
              </w:rPr>
            </w:pPr>
            <w:r>
              <w:rPr>
                <w:rFonts w:hint="eastAsia"/>
                <w:b/>
                <w:bCs/>
                <w:lang w:val="en-US" w:eastAsia="zh-Hans"/>
              </w:rPr>
              <w:t>一</w:t>
            </w:r>
            <w:r>
              <w:rPr>
                <w:rFonts w:hint="eastAsia" w:ascii="仿宋" w:hAnsi="仿宋" w:eastAsia="仿宋" w:cs="仿宋"/>
                <w:b/>
                <w:bCs/>
                <w:sz w:val="18"/>
                <w:szCs w:val="18"/>
                <w:lang w:val="en-US" w:eastAsia="zh-Hans"/>
              </w:rPr>
              <w:t>、评标方法</w:t>
            </w:r>
          </w:p>
          <w:p>
            <w:pPr>
              <w:jc w:val="left"/>
              <w:rPr>
                <w:rFonts w:hint="eastAsia" w:ascii="仿宋" w:hAnsi="仿宋" w:eastAsia="仿宋" w:cs="仿宋"/>
                <w:sz w:val="18"/>
                <w:szCs w:val="18"/>
                <w:lang w:val="en-US" w:eastAsia="zh-Hans"/>
              </w:rPr>
            </w:pPr>
            <w:r>
              <w:rPr>
                <w:rFonts w:hint="eastAsia" w:ascii="仿宋" w:hAnsi="仿宋" w:eastAsia="仿宋" w:cs="仿宋"/>
                <w:sz w:val="18"/>
                <w:szCs w:val="18"/>
                <w:lang w:val="en-US" w:eastAsia="zh-Hans"/>
              </w:rPr>
              <w:t>单一来源采购。</w:t>
            </w:r>
          </w:p>
          <w:p>
            <w:pPr>
              <w:jc w:val="left"/>
              <w:rPr>
                <w:rFonts w:hint="default" w:ascii="仿宋" w:hAnsi="仿宋" w:eastAsia="仿宋" w:cs="仿宋"/>
                <w:sz w:val="18"/>
                <w:szCs w:val="18"/>
                <w:lang w:val="en-US" w:eastAsia="zh-Hans"/>
              </w:rPr>
            </w:pPr>
            <w:r>
              <w:rPr>
                <w:rFonts w:hint="eastAsia" w:ascii="仿宋" w:hAnsi="仿宋" w:eastAsia="仿宋" w:cs="仿宋"/>
                <w:sz w:val="18"/>
                <w:szCs w:val="18"/>
                <w:lang w:val="en-US" w:eastAsia="zh-Hans"/>
              </w:rPr>
              <w:t>深圳报业集团为中国十大报业集团之一，是我国规模最大、现代化程度最高的党报传媒集团之一</w:t>
            </w:r>
            <w:r>
              <w:rPr>
                <w:rFonts w:hint="default" w:ascii="仿宋" w:hAnsi="仿宋" w:eastAsia="仿宋" w:cs="仿宋"/>
                <w:sz w:val="18"/>
                <w:szCs w:val="18"/>
                <w:lang w:val="en-US" w:eastAsia="zh-Hans"/>
              </w:rPr>
              <w:t>，</w:t>
            </w:r>
            <w:r>
              <w:rPr>
                <w:rFonts w:hint="eastAsia" w:ascii="仿宋" w:hAnsi="仿宋" w:eastAsia="仿宋" w:cs="仿宋"/>
                <w:sz w:val="18"/>
                <w:szCs w:val="18"/>
                <w:lang w:val="en-US" w:eastAsia="zh-Hans"/>
              </w:rPr>
              <w:t>旗下深圳特区报</w:t>
            </w:r>
            <w:r>
              <w:rPr>
                <w:rFonts w:hint="default" w:ascii="仿宋" w:hAnsi="仿宋" w:eastAsia="仿宋" w:cs="仿宋"/>
                <w:sz w:val="18"/>
                <w:szCs w:val="18"/>
                <w:lang w:val="en-US" w:eastAsia="zh-Hans"/>
              </w:rPr>
              <w:t>、</w:t>
            </w:r>
            <w:r>
              <w:rPr>
                <w:rFonts w:hint="eastAsia" w:ascii="仿宋" w:hAnsi="仿宋" w:eastAsia="仿宋" w:cs="仿宋"/>
                <w:sz w:val="18"/>
                <w:szCs w:val="18"/>
                <w:lang w:val="en-US" w:eastAsia="zh-Hans"/>
              </w:rPr>
              <w:t>深圳商报等9报5刊1个重点新闻门户网站</w:t>
            </w:r>
            <w:r>
              <w:rPr>
                <w:rFonts w:hint="default" w:ascii="仿宋" w:hAnsi="仿宋" w:eastAsia="仿宋" w:cs="仿宋"/>
                <w:sz w:val="18"/>
                <w:szCs w:val="18"/>
                <w:lang w:val="en-US" w:eastAsia="zh-Hans"/>
              </w:rPr>
              <w:t>，</w:t>
            </w:r>
            <w:r>
              <w:rPr>
                <w:rFonts w:hint="eastAsia" w:ascii="仿宋" w:hAnsi="仿宋" w:eastAsia="仿宋" w:cs="仿宋"/>
                <w:sz w:val="18"/>
                <w:szCs w:val="18"/>
                <w:lang w:val="en-US" w:eastAsia="zh-Hans"/>
              </w:rPr>
              <w:t>1家出版社以及系列新媒体</w:t>
            </w:r>
            <w:r>
              <w:rPr>
                <w:rFonts w:hint="default" w:ascii="仿宋" w:hAnsi="仿宋" w:eastAsia="仿宋" w:cs="仿宋"/>
                <w:sz w:val="18"/>
                <w:szCs w:val="18"/>
                <w:lang w:val="en-US" w:eastAsia="zh-Hans"/>
              </w:rPr>
              <w:t>，</w:t>
            </w:r>
            <w:r>
              <w:rPr>
                <w:rFonts w:hint="eastAsia" w:ascii="仿宋" w:hAnsi="仿宋" w:eastAsia="仿宋" w:cs="仿宋"/>
                <w:sz w:val="18"/>
                <w:szCs w:val="18"/>
                <w:lang w:val="en-US" w:eastAsia="zh-Hans"/>
              </w:rPr>
              <w:t>影响辐射全国</w:t>
            </w:r>
            <w:r>
              <w:rPr>
                <w:rFonts w:hint="default" w:ascii="仿宋" w:hAnsi="仿宋" w:eastAsia="仿宋" w:cs="仿宋"/>
                <w:sz w:val="18"/>
                <w:szCs w:val="18"/>
                <w:lang w:val="en-US" w:eastAsia="zh-Hans"/>
              </w:rPr>
              <w:t>。</w:t>
            </w:r>
          </w:p>
          <w:p>
            <w:pPr>
              <w:jc w:val="left"/>
              <w:rPr>
                <w:rFonts w:hint="default" w:ascii="仿宋" w:hAnsi="仿宋" w:eastAsia="仿宋" w:cs="仿宋"/>
                <w:sz w:val="18"/>
                <w:szCs w:val="18"/>
                <w:lang w:val="en-US" w:eastAsia="zh-Hans"/>
              </w:rPr>
            </w:pPr>
            <w:r>
              <w:rPr>
                <w:rFonts w:hint="eastAsia" w:ascii="仿宋" w:hAnsi="仿宋" w:eastAsia="仿宋" w:cs="仿宋"/>
                <w:sz w:val="18"/>
                <w:szCs w:val="18"/>
                <w:lang w:val="en-US" w:eastAsia="zh-CN"/>
              </w:rPr>
              <w:t>市政府于2000年10月20日发布《深圳市人民政府公告管理规定》（深圳市人民政府令第95号）。根据该规定第五条，市政府明确</w:t>
            </w:r>
            <w:r>
              <w:rPr>
                <w:rFonts w:hint="eastAsia" w:ascii="仿宋" w:hAnsi="仿宋" w:eastAsia="仿宋" w:cs="仿宋"/>
                <w:sz w:val="18"/>
                <w:szCs w:val="18"/>
                <w:lang w:val="en-US" w:eastAsia="zh-Hans"/>
              </w:rPr>
              <w:t>在</w:t>
            </w:r>
            <w:r>
              <w:rPr>
                <w:rFonts w:hint="eastAsia" w:ascii="仿宋" w:hAnsi="仿宋" w:eastAsia="仿宋" w:cs="仿宋"/>
                <w:sz w:val="18"/>
                <w:szCs w:val="18"/>
                <w:lang w:val="en-US" w:eastAsia="zh-CN"/>
              </w:rPr>
              <w:t>《深圳特区报》、《深圳商报》</w:t>
            </w:r>
            <w:r>
              <w:rPr>
                <w:rFonts w:hint="eastAsia" w:ascii="仿宋" w:hAnsi="仿宋" w:eastAsia="仿宋" w:cs="仿宋"/>
                <w:sz w:val="18"/>
                <w:szCs w:val="18"/>
                <w:lang w:val="en-US" w:eastAsia="zh-Hans"/>
              </w:rPr>
              <w:t>发布</w:t>
            </w:r>
            <w:r>
              <w:rPr>
                <w:rFonts w:hint="eastAsia" w:ascii="仿宋" w:hAnsi="仿宋" w:eastAsia="仿宋" w:cs="仿宋"/>
                <w:sz w:val="18"/>
                <w:szCs w:val="18"/>
                <w:lang w:val="en-US" w:eastAsia="zh-CN"/>
              </w:rPr>
              <w:t>政府公告。</w:t>
            </w:r>
            <w:r>
              <w:rPr>
                <w:rFonts w:hint="eastAsia" w:ascii="仿宋" w:hAnsi="仿宋" w:eastAsia="仿宋" w:cs="仿宋"/>
                <w:sz w:val="18"/>
                <w:szCs w:val="18"/>
                <w:lang w:val="en-US" w:eastAsia="zh-Hans"/>
              </w:rPr>
              <w:t>由于</w:t>
            </w:r>
            <w:r>
              <w:rPr>
                <w:rFonts w:hint="eastAsia" w:ascii="仿宋" w:hAnsi="仿宋" w:eastAsia="仿宋" w:cs="仿宋"/>
                <w:sz w:val="18"/>
                <w:szCs w:val="18"/>
                <w:lang w:val="en-US" w:eastAsia="zh-CN"/>
              </w:rPr>
              <w:t>《深圳特区报》、《深圳商报》</w:t>
            </w:r>
            <w:r>
              <w:rPr>
                <w:rFonts w:hint="eastAsia" w:ascii="仿宋" w:hAnsi="仿宋" w:eastAsia="仿宋" w:cs="仿宋"/>
                <w:sz w:val="18"/>
                <w:szCs w:val="18"/>
                <w:lang w:val="en-US" w:eastAsia="zh-Hans"/>
              </w:rPr>
              <w:t>均为深圳报业集团的旗下报刊</w:t>
            </w:r>
            <w:r>
              <w:rPr>
                <w:rFonts w:hint="default" w:ascii="仿宋" w:hAnsi="仿宋" w:eastAsia="仿宋" w:cs="仿宋"/>
                <w:sz w:val="18"/>
                <w:szCs w:val="18"/>
                <w:lang w:val="en-US" w:eastAsia="zh-Hans"/>
              </w:rPr>
              <w:t>，</w:t>
            </w:r>
            <w:r>
              <w:rPr>
                <w:rFonts w:hint="eastAsia" w:ascii="仿宋" w:hAnsi="仿宋" w:eastAsia="仿宋" w:cs="仿宋"/>
                <w:sz w:val="18"/>
                <w:szCs w:val="18"/>
                <w:lang w:val="en-US" w:eastAsia="zh-Hans"/>
              </w:rPr>
              <w:t>考虑到集团传媒手段和方式的影响力和辐射度</w:t>
            </w:r>
            <w:r>
              <w:rPr>
                <w:rFonts w:hint="default" w:ascii="仿宋" w:hAnsi="仿宋" w:eastAsia="仿宋" w:cs="仿宋"/>
                <w:sz w:val="18"/>
                <w:szCs w:val="18"/>
                <w:lang w:val="en-US" w:eastAsia="zh-Hans"/>
              </w:rPr>
              <w:t>，</w:t>
            </w:r>
            <w:r>
              <w:rPr>
                <w:rFonts w:hint="eastAsia" w:ascii="仿宋" w:hAnsi="仿宋" w:eastAsia="仿宋" w:cs="仿宋"/>
                <w:sz w:val="18"/>
                <w:szCs w:val="18"/>
                <w:lang w:val="en-US" w:eastAsia="zh-Hans"/>
              </w:rPr>
              <w:t>拟</w:t>
            </w:r>
            <w:r>
              <w:rPr>
                <w:rFonts w:hint="default" w:ascii="仿宋" w:hAnsi="仿宋" w:eastAsia="仿宋" w:cs="仿宋"/>
                <w:sz w:val="18"/>
                <w:szCs w:val="18"/>
                <w:lang w:val="en-US" w:eastAsia="zh-Hans"/>
              </w:rPr>
              <w:t>按单一来源采购的方式确定由</w:t>
            </w:r>
            <w:r>
              <w:rPr>
                <w:rFonts w:hint="eastAsia" w:ascii="仿宋" w:hAnsi="仿宋" w:eastAsia="仿宋" w:cs="仿宋"/>
                <w:sz w:val="18"/>
                <w:szCs w:val="18"/>
                <w:lang w:val="en-US" w:eastAsia="zh-Hans"/>
              </w:rPr>
              <w:t>深圳报业集团</w:t>
            </w:r>
            <w:r>
              <w:rPr>
                <w:rFonts w:hint="default" w:ascii="仿宋" w:hAnsi="仿宋" w:eastAsia="仿宋" w:cs="仿宋"/>
                <w:sz w:val="18"/>
                <w:szCs w:val="18"/>
                <w:lang w:val="en-US" w:eastAsia="zh-Hans"/>
              </w:rPr>
              <w:t>承担本项目。</w:t>
            </w:r>
          </w:p>
          <w:p>
            <w:pPr>
              <w:jc w:val="left"/>
              <w:rPr>
                <w:rFonts w:hint="default" w:ascii="仿宋" w:hAnsi="仿宋" w:eastAsia="仿宋" w:cs="仿宋"/>
                <w:b/>
                <w:bCs/>
                <w:sz w:val="18"/>
                <w:szCs w:val="18"/>
                <w:lang w:val="en-US" w:eastAsia="zh-Hans"/>
              </w:rPr>
            </w:pPr>
            <w:r>
              <w:rPr>
                <w:rFonts w:hint="default" w:ascii="仿宋" w:hAnsi="仿宋" w:eastAsia="仿宋" w:cs="仿宋"/>
                <w:b/>
                <w:bCs/>
                <w:sz w:val="18"/>
                <w:szCs w:val="18"/>
                <w:lang w:val="en-US" w:eastAsia="zh-Hans"/>
              </w:rPr>
              <w:t>二、供应商提供材料</w:t>
            </w:r>
          </w:p>
          <w:p>
            <w:pPr>
              <w:jc w:val="left"/>
              <w:rPr>
                <w:rFonts w:hint="default" w:ascii="仿宋" w:hAnsi="仿宋" w:eastAsia="仿宋" w:cs="仿宋"/>
                <w:sz w:val="18"/>
                <w:szCs w:val="18"/>
                <w:lang w:val="en-US" w:eastAsia="zh-Hans"/>
              </w:rPr>
            </w:pPr>
            <w:r>
              <w:rPr>
                <w:rFonts w:hint="default" w:ascii="仿宋" w:hAnsi="仿宋" w:eastAsia="仿宋" w:cs="仿宋"/>
                <w:sz w:val="18"/>
                <w:szCs w:val="18"/>
                <w:lang w:val="en-US" w:eastAsia="zh-Hans"/>
              </w:rPr>
              <w:t>1.应标文件；</w:t>
            </w:r>
          </w:p>
          <w:p>
            <w:pPr>
              <w:jc w:val="left"/>
              <w:rPr>
                <w:rFonts w:hint="default" w:ascii="仿宋" w:hAnsi="仿宋" w:eastAsia="仿宋" w:cs="仿宋"/>
                <w:sz w:val="18"/>
                <w:szCs w:val="18"/>
                <w:lang w:val="en-US" w:eastAsia="zh-Hans"/>
              </w:rPr>
            </w:pPr>
            <w:r>
              <w:rPr>
                <w:rFonts w:hint="default" w:ascii="仿宋" w:hAnsi="仿宋" w:eastAsia="仿宋" w:cs="仿宋"/>
                <w:sz w:val="18"/>
                <w:szCs w:val="18"/>
                <w:lang w:val="en-US" w:eastAsia="zh-Hans"/>
              </w:rPr>
              <w:t>2.提供营业执照或事业单位法人证书等文件，复印件应加盖公章；</w:t>
            </w:r>
          </w:p>
          <w:p>
            <w:pPr>
              <w:jc w:val="left"/>
              <w:rPr>
                <w:rFonts w:hint="default" w:ascii="仿宋" w:hAnsi="仿宋" w:eastAsia="仿宋" w:cs="仿宋"/>
                <w:sz w:val="18"/>
                <w:szCs w:val="18"/>
                <w:lang w:val="en-US" w:eastAsia="zh-Hans"/>
              </w:rPr>
            </w:pPr>
            <w:r>
              <w:rPr>
                <w:rFonts w:hint="default" w:ascii="仿宋" w:hAnsi="仿宋" w:eastAsia="仿宋" w:cs="仿宋"/>
                <w:sz w:val="18"/>
                <w:szCs w:val="18"/>
                <w:lang w:val="en-US" w:eastAsia="zh-Hans"/>
              </w:rPr>
              <w:t>3.政府采购投标及履约承诺函；</w:t>
            </w:r>
          </w:p>
          <w:p>
            <w:pPr>
              <w:jc w:val="left"/>
              <w:rPr>
                <w:rFonts w:hint="default" w:ascii="仿宋" w:hAnsi="仿宋" w:eastAsia="仿宋" w:cs="仿宋"/>
                <w:sz w:val="18"/>
                <w:szCs w:val="18"/>
                <w:lang w:val="en-US" w:eastAsia="zh-Hans"/>
              </w:rPr>
            </w:pPr>
            <w:r>
              <w:rPr>
                <w:rFonts w:hint="default" w:ascii="仿宋" w:hAnsi="仿宋" w:eastAsia="仿宋" w:cs="仿宋"/>
                <w:sz w:val="18"/>
                <w:szCs w:val="18"/>
                <w:lang w:val="en-US" w:eastAsia="zh-Hans"/>
              </w:rPr>
              <w:t>4.项目负责人、成员表等文件；</w:t>
            </w:r>
          </w:p>
          <w:p>
            <w:pPr>
              <w:jc w:val="left"/>
              <w:rPr>
                <w:rFonts w:hint="default" w:ascii="仿宋" w:hAnsi="仿宋" w:eastAsia="仿宋" w:cs="仿宋"/>
                <w:sz w:val="18"/>
                <w:szCs w:val="18"/>
                <w:lang w:val="en-US" w:eastAsia="zh-Hans"/>
              </w:rPr>
            </w:pPr>
            <w:r>
              <w:rPr>
                <w:rFonts w:hint="default" w:ascii="仿宋" w:hAnsi="仿宋" w:eastAsia="仿宋" w:cs="仿宋"/>
                <w:sz w:val="18"/>
                <w:szCs w:val="18"/>
                <w:lang w:val="en-US" w:eastAsia="zh-Hans"/>
              </w:rPr>
              <w:t>5.政府采购注册供应商资格文件；</w:t>
            </w:r>
          </w:p>
          <w:p>
            <w:pPr>
              <w:jc w:val="left"/>
              <w:rPr>
                <w:rFonts w:hint="eastAsia" w:ascii="仿宋" w:hAnsi="仿宋" w:eastAsia="仿宋" w:cs="仿宋"/>
                <w:bCs/>
                <w:color w:val="auto"/>
                <w:szCs w:val="21"/>
                <w:highlight w:val="none"/>
              </w:rPr>
            </w:pPr>
            <w:r>
              <w:rPr>
                <w:rFonts w:hint="default" w:ascii="仿宋" w:hAnsi="仿宋" w:eastAsia="仿宋" w:cs="仿宋"/>
                <w:sz w:val="18"/>
                <w:szCs w:val="18"/>
                <w:lang w:val="en-US" w:eastAsia="zh-Hans"/>
              </w:rPr>
              <w:t>6.供应商认为应提供的其</w:t>
            </w:r>
            <w:r>
              <w:rPr>
                <w:rFonts w:hint="eastAsia" w:ascii="仿宋" w:hAnsi="仿宋" w:eastAsia="仿宋" w:cs="仿宋"/>
                <w:sz w:val="18"/>
                <w:szCs w:val="18"/>
                <w:lang w:val="en-US" w:eastAsia="zh-Hans"/>
              </w:rPr>
              <w:t>他</w:t>
            </w:r>
            <w:r>
              <w:rPr>
                <w:rFonts w:hint="default" w:ascii="仿宋" w:hAnsi="仿宋" w:eastAsia="仿宋" w:cs="仿宋"/>
                <w:sz w:val="18"/>
                <w:szCs w:val="18"/>
                <w:lang w:val="en-US" w:eastAsia="zh-Hans"/>
              </w:rPr>
              <w:t>资料。</w:t>
            </w:r>
          </w:p>
        </w:tc>
      </w:tr>
    </w:tbl>
    <w:p>
      <w:pPr>
        <w:keepNext w:val="0"/>
        <w:keepLines w:val="0"/>
        <w:pageBreakBefore w:val="0"/>
        <w:widowControl w:val="0"/>
        <w:kinsoku/>
        <w:overflowPunct/>
        <w:topLinePunct w:val="0"/>
        <w:autoSpaceDE/>
        <w:autoSpaceDN/>
        <w:bidi w:val="0"/>
        <w:spacing w:line="360" w:lineRule="exact"/>
        <w:rPr>
          <w:rFonts w:ascii="仿宋" w:hAnsi="仿宋" w:eastAsia="仿宋"/>
          <w:bCs/>
          <w:color w:val="auto"/>
          <w:szCs w:val="21"/>
          <w:highlight w:val="none"/>
        </w:rPr>
      </w:pPr>
    </w:p>
    <w:p>
      <w:pPr>
        <w:pStyle w:val="3"/>
        <w:ind w:left="0" w:leftChars="0" w:firstLine="0" w:firstLineChars="0"/>
        <w:jc w:val="center"/>
        <w:rPr>
          <w:rFonts w:hint="eastAsia" w:ascii="黑体" w:hAnsi="黑体" w:eastAsia="黑体" w:cs="黑体"/>
          <w:b/>
          <w:bCs/>
          <w:kern w:val="0"/>
          <w:sz w:val="44"/>
          <w:szCs w:val="44"/>
        </w:rPr>
      </w:pPr>
    </w:p>
    <w:p>
      <w:pPr>
        <w:pStyle w:val="3"/>
        <w:ind w:left="0" w:leftChars="0" w:firstLine="0" w:firstLineChars="0"/>
        <w:jc w:val="center"/>
        <w:rPr>
          <w:rFonts w:hint="eastAsia" w:ascii="黑体" w:hAnsi="黑体" w:eastAsia="黑体" w:cs="黑体"/>
          <w:b/>
          <w:bCs/>
          <w:kern w:val="0"/>
          <w:sz w:val="44"/>
          <w:szCs w:val="44"/>
        </w:rPr>
      </w:pPr>
    </w:p>
    <w:p>
      <w:pPr>
        <w:pStyle w:val="3"/>
        <w:ind w:left="0" w:leftChars="0" w:firstLine="0" w:firstLineChars="0"/>
        <w:jc w:val="center"/>
        <w:rPr>
          <w:rFonts w:hint="eastAsia" w:ascii="黑体" w:hAnsi="黑体" w:eastAsia="黑体" w:cs="黑体"/>
          <w:b/>
          <w:bCs/>
          <w:kern w:val="0"/>
          <w:sz w:val="44"/>
          <w:szCs w:val="44"/>
        </w:rPr>
      </w:pPr>
    </w:p>
    <w:p>
      <w:pPr>
        <w:pStyle w:val="3"/>
        <w:ind w:left="0" w:leftChars="0" w:firstLine="0" w:firstLineChars="0"/>
        <w:jc w:val="center"/>
        <w:rPr>
          <w:rFonts w:hint="eastAsia" w:ascii="黑体" w:hAnsi="黑体" w:eastAsia="黑体" w:cs="黑体"/>
          <w:b/>
          <w:bCs/>
          <w:kern w:val="0"/>
          <w:sz w:val="44"/>
          <w:szCs w:val="44"/>
        </w:rPr>
      </w:pPr>
    </w:p>
    <w:p>
      <w:pPr>
        <w:pStyle w:val="3"/>
        <w:ind w:left="0" w:leftChars="0" w:firstLine="0" w:firstLineChars="0"/>
        <w:jc w:val="center"/>
        <w:rPr>
          <w:rFonts w:hint="eastAsia" w:ascii="黑体" w:hAnsi="黑体" w:eastAsia="黑体" w:cs="黑体"/>
          <w:b/>
          <w:bCs/>
          <w:kern w:val="0"/>
          <w:sz w:val="44"/>
          <w:szCs w:val="44"/>
        </w:rPr>
      </w:pPr>
    </w:p>
    <w:p>
      <w:pPr>
        <w:pStyle w:val="3"/>
        <w:ind w:left="0" w:leftChars="0" w:firstLine="0" w:firstLineChars="0"/>
        <w:jc w:val="center"/>
        <w:rPr>
          <w:rFonts w:hint="eastAsia" w:ascii="黑体" w:hAnsi="黑体" w:eastAsia="黑体" w:cs="黑体"/>
          <w:b/>
          <w:bCs/>
          <w:kern w:val="0"/>
          <w:sz w:val="44"/>
          <w:szCs w:val="44"/>
        </w:rPr>
      </w:pPr>
    </w:p>
    <w:p>
      <w:pPr>
        <w:pStyle w:val="3"/>
        <w:ind w:left="0" w:leftChars="0" w:firstLine="0" w:firstLineChars="0"/>
        <w:jc w:val="center"/>
        <w:rPr>
          <w:rFonts w:hint="eastAsia" w:ascii="黑体" w:hAnsi="黑体" w:eastAsia="黑体" w:cs="黑体"/>
          <w:b/>
          <w:bCs/>
          <w:kern w:val="0"/>
          <w:sz w:val="44"/>
          <w:szCs w:val="44"/>
        </w:rPr>
      </w:pPr>
    </w:p>
    <w:p>
      <w:pPr>
        <w:pStyle w:val="3"/>
        <w:ind w:left="0" w:leftChars="0" w:firstLine="0" w:firstLineChars="0"/>
        <w:jc w:val="center"/>
        <w:rPr>
          <w:rFonts w:hint="eastAsia" w:ascii="黑体" w:hAnsi="黑体" w:eastAsia="黑体" w:cs="黑体"/>
          <w:b/>
          <w:bCs/>
          <w:kern w:val="0"/>
          <w:sz w:val="44"/>
          <w:szCs w:val="44"/>
        </w:rPr>
      </w:pPr>
    </w:p>
    <w:p>
      <w:pPr>
        <w:pStyle w:val="3"/>
        <w:ind w:left="0" w:leftChars="0" w:firstLine="0" w:firstLineChars="0"/>
        <w:jc w:val="center"/>
        <w:rPr>
          <w:rFonts w:ascii="黑体" w:hAnsi="黑体" w:eastAsia="黑体" w:cs="黑体"/>
          <w:b/>
          <w:bCs/>
          <w:kern w:val="0"/>
          <w:sz w:val="44"/>
          <w:szCs w:val="44"/>
        </w:rPr>
      </w:pPr>
      <w:r>
        <w:rPr>
          <w:rFonts w:hint="eastAsia" w:ascii="黑体" w:hAnsi="黑体" w:eastAsia="黑体" w:cs="黑体"/>
          <w:b/>
          <w:bCs/>
          <w:kern w:val="0"/>
          <w:sz w:val="44"/>
          <w:szCs w:val="44"/>
        </w:rPr>
        <w:t>政府采购投标及履约承诺函</w:t>
      </w:r>
    </w:p>
    <w:p>
      <w:pPr>
        <w:pStyle w:val="3"/>
        <w:ind w:firstLine="960"/>
        <w:rPr>
          <w:sz w:val="48"/>
          <w:szCs w:val="48"/>
        </w:rPr>
      </w:pPr>
    </w:p>
    <w:p>
      <w:pPr>
        <w:spacing w:line="500" w:lineRule="exact"/>
        <w:rPr>
          <w:rFonts w:ascii="仿宋" w:hAnsi="仿宋" w:eastAsia="仿宋"/>
          <w:sz w:val="30"/>
          <w:szCs w:val="30"/>
        </w:rPr>
      </w:pPr>
      <w:r>
        <w:rPr>
          <w:rFonts w:hint="eastAsia" w:ascii="仿宋" w:hAnsi="仿宋" w:eastAsia="仿宋"/>
          <w:sz w:val="30"/>
          <w:szCs w:val="30"/>
        </w:rPr>
        <w:t>深圳市规划和自然资源局光明管理局：</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我单位深知本项目对贵局的重要性和紧迫性，亦了解贵局对廉政建设的相关要求，因此我单位承诺如下：</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1.我单位本招标项目所提供的货物或服务未侵犯知识产权。</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2.我单位参与本项目投标前三年内，在经营活动中没有违法记录。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3.我单位参与本项目政府采购活动时不存在被有关部门禁止参与政府采购活动且在有效期内的情况。</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4.我单位具备《中华人民共和国政府采购法》第二十二条第一款的条件。</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5.我单位未被列入失信被执行人、税收违法案件当事人名单、政府采购严重违法失信行为记录名单。</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7.我单位如果中标，做到诚实守信，依照本项目招标文件需求内容、签署的采购合同及本单位在投标中所作的一切承诺履约。</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10.我单位承诺不非法转包、分包。</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11.我单位承诺未参与本项目的采购需求、技术指标、商务指标等内容的设定，不存在对其他投标单位不公平的行为。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11.我单位承诺不对采购人进行贿赂，进行有偿报答。</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12.我单位承诺不对采购人进行任何形式的利益输送。</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13.我单位承诺不对采购人进行宴请和娱乐等消费活动。</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14.我单位承诺不对采购人进行赠送各种礼品、现金、有价证券、中介费、好处费等行为。</w:t>
      </w:r>
    </w:p>
    <w:p>
      <w:pPr>
        <w:spacing w:line="500" w:lineRule="exact"/>
        <w:ind w:firstLine="600" w:firstLineChars="200"/>
        <w:rPr>
          <w:rFonts w:ascii="仿宋" w:hAnsi="仿宋" w:eastAsia="仿宋"/>
          <w:sz w:val="30"/>
          <w:szCs w:val="30"/>
        </w:rPr>
      </w:pPr>
      <w:r>
        <w:rPr>
          <w:rFonts w:hint="eastAsia" w:ascii="仿宋" w:hAnsi="仿宋" w:eastAsia="仿宋"/>
          <w:sz w:val="30"/>
          <w:szCs w:val="30"/>
        </w:rPr>
        <w:t>以上承诺，如有违反，愿依照国家相关法律处理，并承担由此给采购人带来的损失。</w:t>
      </w:r>
    </w:p>
    <w:p>
      <w:pPr>
        <w:spacing w:line="500" w:lineRule="exact"/>
        <w:rPr>
          <w:rFonts w:ascii="仿宋" w:hAnsi="仿宋" w:eastAsia="仿宋"/>
          <w:sz w:val="30"/>
          <w:szCs w:val="30"/>
        </w:rPr>
      </w:pPr>
    </w:p>
    <w:p>
      <w:pPr>
        <w:spacing w:line="500" w:lineRule="exact"/>
        <w:rPr>
          <w:rFonts w:ascii="仿宋" w:hAnsi="仿宋" w:eastAsia="仿宋"/>
          <w:sz w:val="30"/>
          <w:szCs w:val="30"/>
        </w:rPr>
      </w:pPr>
    </w:p>
    <w:p>
      <w:pPr>
        <w:spacing w:line="500" w:lineRule="exact"/>
        <w:rPr>
          <w:rFonts w:ascii="仿宋" w:hAnsi="仿宋" w:eastAsia="仿宋"/>
          <w:sz w:val="30"/>
          <w:szCs w:val="30"/>
        </w:rPr>
      </w:pPr>
    </w:p>
    <w:p>
      <w:pPr>
        <w:spacing w:line="500" w:lineRule="exact"/>
        <w:ind w:firstLine="600" w:firstLineChars="200"/>
        <w:jc w:val="left"/>
        <w:rPr>
          <w:rFonts w:ascii="仿宋" w:hAnsi="仿宋" w:eastAsia="仿宋"/>
          <w:sz w:val="30"/>
          <w:szCs w:val="30"/>
        </w:rPr>
      </w:pPr>
      <w:r>
        <w:rPr>
          <w:rFonts w:hint="eastAsia" w:ascii="仿宋" w:hAnsi="仿宋" w:eastAsia="仿宋"/>
          <w:sz w:val="30"/>
          <w:szCs w:val="30"/>
        </w:rPr>
        <w:t xml:space="preserve">                              承诺单位（公司）盖章：</w:t>
      </w:r>
    </w:p>
    <w:p>
      <w:pPr>
        <w:spacing w:line="500" w:lineRule="exact"/>
        <w:ind w:firstLine="600" w:firstLineChars="200"/>
        <w:jc w:val="left"/>
        <w:rPr>
          <w:rFonts w:hint="eastAsia" w:ascii="仿宋" w:hAnsi="仿宋" w:eastAsia="仿宋"/>
          <w:sz w:val="30"/>
          <w:szCs w:val="30"/>
        </w:rPr>
      </w:pPr>
      <w:r>
        <w:rPr>
          <w:rFonts w:hint="eastAsia" w:ascii="仿宋" w:hAnsi="仿宋" w:eastAsia="仿宋"/>
          <w:sz w:val="30"/>
          <w:szCs w:val="30"/>
        </w:rPr>
        <w:t xml:space="preserve">                                   年   月   日 </w:t>
      </w:r>
    </w:p>
    <w:p>
      <w:r>
        <w:br w:type="page"/>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r>
        <w:rPr>
          <w:rFonts w:hint="eastAsia" w:ascii="黑体" w:hAnsi="黑体" w:eastAsia="黑体" w:cs="黑体"/>
          <w:b w:val="0"/>
          <w:bCs w:val="0"/>
          <w:kern w:val="2"/>
          <w:sz w:val="32"/>
          <w:szCs w:val="32"/>
          <w:lang w:eastAsia="zh-CN"/>
        </w:rPr>
        <w:t>附</w:t>
      </w:r>
      <w:r>
        <w:rPr>
          <w:rFonts w:hint="eastAsia" w:ascii="黑体" w:hAnsi="黑体" w:eastAsia="黑体" w:cs="黑体"/>
          <w:b w:val="0"/>
          <w:bCs w:val="0"/>
          <w:kern w:val="2"/>
          <w:sz w:val="32"/>
          <w:szCs w:val="32"/>
          <w:lang w:val="en-US" w:eastAsia="zh-CN"/>
        </w:rPr>
        <w:t xml:space="preserve"> </w:t>
      </w:r>
      <w:r>
        <w:rPr>
          <w:rFonts w:hint="eastAsia" w:ascii="黑体" w:hAnsi="黑体" w:eastAsia="黑体" w:cs="黑体"/>
          <w:b w:val="0"/>
          <w:bCs w:val="0"/>
          <w:kern w:val="2"/>
          <w:sz w:val="32"/>
          <w:szCs w:val="32"/>
          <w:lang w:eastAsia="zh-CN"/>
        </w:rPr>
        <w:t>件</w:t>
      </w:r>
    </w:p>
    <w:p>
      <w:pPr>
        <w:numPr>
          <w:ilvl w:val="0"/>
          <w:numId w:val="0"/>
        </w:numPr>
        <w:autoSpaceDE/>
        <w:autoSpaceDN/>
        <w:adjustRightInd/>
        <w:spacing w:line="579" w:lineRule="exact"/>
        <w:ind w:firstLine="0" w:firstLineChars="0"/>
        <w:jc w:val="both"/>
        <w:rPr>
          <w:rFonts w:hint="eastAsia" w:ascii="仿宋_GB2312" w:hAnsi="仿宋_GB2312" w:eastAsia="仿宋_GB2312" w:cs="仿宋_GB2312"/>
          <w:b w:val="0"/>
          <w:bCs w:val="0"/>
          <w:kern w:val="2"/>
          <w:sz w:val="32"/>
          <w:szCs w:val="32"/>
          <w:lang w:eastAsia="zh-CN"/>
        </w:rPr>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_GBK">
    <w:altName w:val="C059"/>
    <w:panose1 w:val="00000000000000000000"/>
    <w:charset w:val="00"/>
    <w:family w:val="auto"/>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汉仪中等线B5">
    <w:panose1 w:val="0101010401010101010B"/>
    <w:charset w:val="86"/>
    <w:family w:val="auto"/>
    <w:pitch w:val="default"/>
    <w:sig w:usb0="800000A3" w:usb1="00497878"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MzYyNjJkYjg3ZDVjZmE0NDk2ZGY2NjE4OGFkMGMifQ=="/>
  </w:docVars>
  <w:rsids>
    <w:rsidRoot w:val="00172A27"/>
    <w:rsid w:val="001B223C"/>
    <w:rsid w:val="012F5F9F"/>
    <w:rsid w:val="04473DB4"/>
    <w:rsid w:val="04F01EE9"/>
    <w:rsid w:val="04F27A0F"/>
    <w:rsid w:val="056921F6"/>
    <w:rsid w:val="06C21663"/>
    <w:rsid w:val="0914767F"/>
    <w:rsid w:val="093B4BC3"/>
    <w:rsid w:val="09C875A3"/>
    <w:rsid w:val="0B292074"/>
    <w:rsid w:val="0B850D5C"/>
    <w:rsid w:val="0C191BB3"/>
    <w:rsid w:val="0C6C62F9"/>
    <w:rsid w:val="0DF93BBD"/>
    <w:rsid w:val="0F6C7940"/>
    <w:rsid w:val="0FB83603"/>
    <w:rsid w:val="114C3B21"/>
    <w:rsid w:val="126935DD"/>
    <w:rsid w:val="12ED1891"/>
    <w:rsid w:val="131B2827"/>
    <w:rsid w:val="133F2861"/>
    <w:rsid w:val="13F015BE"/>
    <w:rsid w:val="1410159B"/>
    <w:rsid w:val="152466FE"/>
    <w:rsid w:val="15D1494A"/>
    <w:rsid w:val="16322B20"/>
    <w:rsid w:val="177C0275"/>
    <w:rsid w:val="17C23271"/>
    <w:rsid w:val="191D253C"/>
    <w:rsid w:val="191D561F"/>
    <w:rsid w:val="198951AA"/>
    <w:rsid w:val="1BBD6EDA"/>
    <w:rsid w:val="1C3A688F"/>
    <w:rsid w:val="205B4263"/>
    <w:rsid w:val="219D4C6A"/>
    <w:rsid w:val="23B343B6"/>
    <w:rsid w:val="23BD28EE"/>
    <w:rsid w:val="241606D8"/>
    <w:rsid w:val="25733DFD"/>
    <w:rsid w:val="265E387A"/>
    <w:rsid w:val="28E16C94"/>
    <w:rsid w:val="291259B4"/>
    <w:rsid w:val="29BC4456"/>
    <w:rsid w:val="2A04596B"/>
    <w:rsid w:val="2AD8258B"/>
    <w:rsid w:val="2BF12BC8"/>
    <w:rsid w:val="2C0C12C0"/>
    <w:rsid w:val="2D0B7011"/>
    <w:rsid w:val="2D881172"/>
    <w:rsid w:val="2D92241E"/>
    <w:rsid w:val="2DA523BA"/>
    <w:rsid w:val="2DAF5BEE"/>
    <w:rsid w:val="2E061C62"/>
    <w:rsid w:val="2EDC2A13"/>
    <w:rsid w:val="312236DF"/>
    <w:rsid w:val="313B1E8F"/>
    <w:rsid w:val="317A7CAF"/>
    <w:rsid w:val="319C46DB"/>
    <w:rsid w:val="324D7174"/>
    <w:rsid w:val="329D3EE0"/>
    <w:rsid w:val="32B07BAE"/>
    <w:rsid w:val="32D351BF"/>
    <w:rsid w:val="332901F1"/>
    <w:rsid w:val="334036E4"/>
    <w:rsid w:val="3660007A"/>
    <w:rsid w:val="38EA5120"/>
    <w:rsid w:val="39553AED"/>
    <w:rsid w:val="39735244"/>
    <w:rsid w:val="3BB4496A"/>
    <w:rsid w:val="3DDD3BC9"/>
    <w:rsid w:val="3DFF29FC"/>
    <w:rsid w:val="3F06588A"/>
    <w:rsid w:val="3F7A0397"/>
    <w:rsid w:val="404F36C5"/>
    <w:rsid w:val="40873BEE"/>
    <w:rsid w:val="42D502B4"/>
    <w:rsid w:val="437C611B"/>
    <w:rsid w:val="443A15F3"/>
    <w:rsid w:val="44B00772"/>
    <w:rsid w:val="44C63AF2"/>
    <w:rsid w:val="452A0B70"/>
    <w:rsid w:val="47024B89"/>
    <w:rsid w:val="4709049F"/>
    <w:rsid w:val="47290367"/>
    <w:rsid w:val="47B52FE5"/>
    <w:rsid w:val="494B2817"/>
    <w:rsid w:val="49F033BE"/>
    <w:rsid w:val="4B360C62"/>
    <w:rsid w:val="4B397CA7"/>
    <w:rsid w:val="4B73193A"/>
    <w:rsid w:val="4C544933"/>
    <w:rsid w:val="4CDE1DC7"/>
    <w:rsid w:val="4D5C3245"/>
    <w:rsid w:val="4EFF657E"/>
    <w:rsid w:val="4F41314E"/>
    <w:rsid w:val="4F7220A1"/>
    <w:rsid w:val="4FAD5FDA"/>
    <w:rsid w:val="502D711A"/>
    <w:rsid w:val="507B2EE6"/>
    <w:rsid w:val="50854860"/>
    <w:rsid w:val="512879BF"/>
    <w:rsid w:val="560674C5"/>
    <w:rsid w:val="562C657E"/>
    <w:rsid w:val="57E90669"/>
    <w:rsid w:val="58ED38EB"/>
    <w:rsid w:val="597D1178"/>
    <w:rsid w:val="59AB19CA"/>
    <w:rsid w:val="59B70326"/>
    <w:rsid w:val="5A252C10"/>
    <w:rsid w:val="5A501FEA"/>
    <w:rsid w:val="5A6A4AC7"/>
    <w:rsid w:val="5A7A2F5C"/>
    <w:rsid w:val="5B6FE784"/>
    <w:rsid w:val="5BE12E76"/>
    <w:rsid w:val="5C156E9A"/>
    <w:rsid w:val="5CCF336E"/>
    <w:rsid w:val="5D9D7D78"/>
    <w:rsid w:val="5E2D4789"/>
    <w:rsid w:val="600E1ADA"/>
    <w:rsid w:val="60116111"/>
    <w:rsid w:val="60A73527"/>
    <w:rsid w:val="60B92304"/>
    <w:rsid w:val="6199628F"/>
    <w:rsid w:val="62335879"/>
    <w:rsid w:val="638D7F9D"/>
    <w:rsid w:val="64574FA4"/>
    <w:rsid w:val="64656A2B"/>
    <w:rsid w:val="64A93C89"/>
    <w:rsid w:val="662D4112"/>
    <w:rsid w:val="67B11F87"/>
    <w:rsid w:val="68556DB7"/>
    <w:rsid w:val="69765236"/>
    <w:rsid w:val="69F53DCD"/>
    <w:rsid w:val="6A072332"/>
    <w:rsid w:val="6B2C59DC"/>
    <w:rsid w:val="6B8F0DDA"/>
    <w:rsid w:val="6E757CD5"/>
    <w:rsid w:val="6EC151A6"/>
    <w:rsid w:val="6EFBC21F"/>
    <w:rsid w:val="6EFD67C6"/>
    <w:rsid w:val="6EFE1787"/>
    <w:rsid w:val="6F0C521B"/>
    <w:rsid w:val="6FC224C5"/>
    <w:rsid w:val="6FF84BF7"/>
    <w:rsid w:val="702F613F"/>
    <w:rsid w:val="707B75D6"/>
    <w:rsid w:val="74650381"/>
    <w:rsid w:val="74A909FF"/>
    <w:rsid w:val="76FFFF78"/>
    <w:rsid w:val="77194977"/>
    <w:rsid w:val="77291B3A"/>
    <w:rsid w:val="78C6598D"/>
    <w:rsid w:val="79255191"/>
    <w:rsid w:val="79ED0CED"/>
    <w:rsid w:val="7A8C107D"/>
    <w:rsid w:val="7C816AFE"/>
    <w:rsid w:val="7D2D2F85"/>
    <w:rsid w:val="7DEB3451"/>
    <w:rsid w:val="7E6B1622"/>
    <w:rsid w:val="BB7F4ABB"/>
    <w:rsid w:val="BD5E3745"/>
    <w:rsid w:val="C8EDADDF"/>
    <w:rsid w:val="F29FBA5B"/>
    <w:rsid w:val="FDCFBA0E"/>
    <w:rsid w:val="FF3F7853"/>
    <w:rsid w:val="FFE702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Indent"/>
    <w:basedOn w:val="1"/>
    <w:next w:val="4"/>
    <w:unhideWhenUsed/>
    <w:qFormat/>
    <w:uiPriority w:val="99"/>
    <w:pPr>
      <w:ind w:firstLine="420" w:firstLineChars="200"/>
    </w:pPr>
  </w:style>
  <w:style w:type="paragraph" w:styleId="4">
    <w:name w:val="Body Text"/>
    <w:basedOn w:val="1"/>
    <w:next w:val="5"/>
    <w:qFormat/>
    <w:uiPriority w:val="0"/>
    <w:pPr>
      <w:widowControl w:val="0"/>
      <w:spacing w:before="61" w:beforeLines="0"/>
      <w:ind w:left="102"/>
    </w:pPr>
    <w:rPr>
      <w:rFonts w:ascii="宋体" w:hAnsi="宋体" w:eastAsia="宋体"/>
      <w:kern w:val="0"/>
      <w:sz w:val="28"/>
      <w:szCs w:val="28"/>
      <w:lang w:eastAsia="en-US"/>
    </w:rPr>
  </w:style>
  <w:style w:type="paragraph" w:styleId="5">
    <w:name w:val="Title"/>
    <w:basedOn w:val="1"/>
    <w:next w:val="1"/>
    <w:qFormat/>
    <w:uiPriority w:val="0"/>
    <w:pPr>
      <w:spacing w:before="240" w:beforeLines="0" w:after="60" w:afterLines="0"/>
      <w:jc w:val="center"/>
      <w:outlineLvl w:val="0"/>
    </w:pPr>
    <w:rPr>
      <w:rFonts w:ascii="Cambria" w:hAnsi="Cambria" w:eastAsia="宋体"/>
      <w:b/>
      <w:bCs/>
    </w:rPr>
  </w:style>
  <w:style w:type="paragraph" w:styleId="6">
    <w:name w:val="annotation text"/>
    <w:basedOn w:val="1"/>
    <w:qFormat/>
    <w:uiPriority w:val="0"/>
    <w:pPr>
      <w:spacing w:after="160" w:afterLines="0" w:line="257" w:lineRule="auto"/>
    </w:pPr>
    <w:rPr>
      <w:rFonts w:ascii="等线" w:hAnsi="等线" w:eastAsia="等线" w:cs="Times New Roman"/>
      <w:kern w:val="0"/>
      <w:sz w:val="2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_GBK" w:hAnsi="?????_GBK" w:eastAsia="宋体" w:cs="?????_GBK"/>
      <w:color w:val="000000"/>
      <w:sz w:val="24"/>
      <w:szCs w:val="24"/>
      <w:lang w:val="en-US" w:eastAsia="zh-CN" w:bidi="ar-SA"/>
    </w:rPr>
  </w:style>
  <w:style w:type="paragraph" w:customStyle="1" w:styleId="12">
    <w:name w:val="msolistparagraph"/>
    <w:basedOn w:val="1"/>
    <w:qFormat/>
    <w:uiPriority w:val="0"/>
    <w:pPr>
      <w:ind w:firstLine="420" w:firstLineChars="200"/>
    </w:p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8547</Words>
  <Characters>8789</Characters>
  <Lines>0</Lines>
  <Paragraphs>0</Paragraphs>
  <TotalTime>1</TotalTime>
  <ScaleCrop>false</ScaleCrop>
  <LinksUpToDate>false</LinksUpToDate>
  <CharactersWithSpaces>8886</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gm</cp:lastModifiedBy>
  <cp:lastPrinted>2023-12-15T10:33:00Z</cp:lastPrinted>
  <dcterms:modified xsi:type="dcterms:W3CDTF">2025-04-10T20:25:28Z</dcterms:modified>
  <dc:title>服务类项目采购需求模板（通用）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2CB89703417811C230EFB367FF12EABA</vt:lpwstr>
  </property>
</Properties>
</file>