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line="580" w:lineRule="exact"/>
        <w:ind w:firstLine="0" w:firstLineChars="0"/>
        <w:rPr>
          <w:rFonts w:ascii="仿宋" w:hAnsi="仿宋" w:eastAsia="仿宋"/>
          <w:sz w:val="44"/>
          <w:szCs w:val="44"/>
        </w:rPr>
      </w:pPr>
      <w:r>
        <w:rPr>
          <w:rFonts w:hint="eastAsia" w:ascii="仿宋" w:hAnsi="仿宋" w:eastAsia="仿宋"/>
          <w:sz w:val="32"/>
          <w:szCs w:val="24"/>
        </w:rPr>
        <w:t>附件6：</w:t>
      </w:r>
    </w:p>
    <w:p>
      <w:pPr>
        <w:rPr>
          <w:rFonts w:ascii="仿宋" w:hAnsi="仿宋" w:eastAsia="仿宋"/>
        </w:rPr>
      </w:pP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1"/>
              </w:rPr>
            </w:pPr>
            <w:r>
              <w:rPr>
                <w:rFonts w:ascii="仿宋" w:hAnsi="仿宋" w:eastAsia="仿宋"/>
                <w:szCs w:val="21"/>
              </w:rPr>
              <w:t>依照《深圳经济特区政府采购条例》第二十、二十一条规定，</w:t>
            </w:r>
            <w:r>
              <w:rPr>
                <w:rFonts w:ascii="仿宋" w:hAnsi="仿宋" w:eastAsia="仿宋" w:cs="宋体"/>
                <w:kern w:val="0"/>
                <w:szCs w:val="21"/>
              </w:rPr>
              <w:t>深圳市规划和自然资源局就</w:t>
            </w:r>
            <w:r>
              <w:rPr>
                <w:rFonts w:hint="eastAsia" w:ascii="仿宋" w:hAnsi="仿宋" w:eastAsia="仿宋"/>
                <w:szCs w:val="21"/>
              </w:rPr>
              <w:t>《2025年度深圳市低效用地盘整动态跟踪与实施评估》</w:t>
            </w:r>
            <w:r>
              <w:rPr>
                <w:rFonts w:ascii="仿宋" w:hAnsi="仿宋" w:eastAsia="仿宋"/>
                <w:szCs w:val="21"/>
              </w:rPr>
              <w:t>项目采用</w:t>
            </w:r>
            <w:r>
              <w:rPr>
                <w:rFonts w:hint="eastAsia" w:ascii="仿宋" w:hAnsi="仿宋" w:eastAsia="仿宋"/>
                <w:szCs w:val="21"/>
              </w:rPr>
              <w:t>单一来源</w:t>
            </w:r>
            <w:r>
              <w:rPr>
                <w:rFonts w:ascii="仿宋" w:hAnsi="仿宋" w:eastAsia="仿宋"/>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采购项目名称</w:t>
            </w:r>
            <w:r>
              <w:rPr>
                <w:rFonts w:eastAsia="仿宋" w:cs="Calibri"/>
                <w:bCs/>
                <w:szCs w:val="21"/>
              </w:rPr>
              <w:t> </w:t>
            </w:r>
            <w:r>
              <w:rPr>
                <w:rFonts w:ascii="仿宋" w:hAnsi="仿宋" w:eastAsia="仿宋"/>
                <w:bCs/>
                <w:szCs w:val="21"/>
              </w:rPr>
              <w:t>：</w:t>
            </w:r>
            <w:r>
              <w:rPr>
                <w:rFonts w:hint="eastAsia" w:ascii="仿宋" w:hAnsi="仿宋" w:eastAsia="仿宋"/>
                <w:szCs w:val="21"/>
              </w:rPr>
              <w:t>2025年度深圳市重点片区及重大项目空间保障规划</w:t>
            </w:r>
            <w:r>
              <w:rPr>
                <w:rFonts w:hint="default" w:ascii="仿宋" w:hAnsi="仿宋" w:eastAsia="仿宋"/>
                <w:szCs w:val="21"/>
              </w:rPr>
              <w:t>——</w:t>
            </w:r>
            <w:r>
              <w:rPr>
                <w:rFonts w:hint="eastAsia" w:ascii="仿宋" w:hAnsi="仿宋" w:eastAsia="仿宋"/>
                <w:szCs w:val="21"/>
              </w:rPr>
              <w:t>2025年度深圳市低效用地盘整动态跟踪与实施评估</w:t>
            </w:r>
          </w:p>
          <w:p>
            <w:pPr>
              <w:spacing w:line="440" w:lineRule="exact"/>
              <w:rPr>
                <w:rFonts w:ascii="仿宋" w:hAnsi="仿宋" w:eastAsia="仿宋"/>
                <w:bCs/>
                <w:szCs w:val="21"/>
              </w:rPr>
            </w:pPr>
            <w:r>
              <w:rPr>
                <w:rFonts w:ascii="仿宋" w:hAnsi="仿宋" w:eastAsia="仿宋"/>
                <w:bCs/>
                <w:szCs w:val="21"/>
              </w:rPr>
              <w:t>项目预算金额：97</w:t>
            </w:r>
            <w:r>
              <w:rPr>
                <w:rFonts w:hint="eastAsia" w:ascii="仿宋" w:hAnsi="仿宋" w:eastAsia="仿宋"/>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rPr>
            </w:pPr>
            <w:r>
              <w:rPr>
                <w:rFonts w:hint="eastAsia" w:ascii="仿宋" w:hAnsi="仿宋" w:eastAsia="仿宋"/>
                <w:bCs/>
                <w:szCs w:val="21"/>
              </w:rPr>
              <w:t>采购项目描述：(内容、用途、数量、简要技术需求等)</w:t>
            </w:r>
          </w:p>
          <w:p>
            <w:pPr>
              <w:snapToGrid w:val="0"/>
              <w:spacing w:line="355" w:lineRule="auto"/>
              <w:ind w:firstLine="421" w:firstLineChars="200"/>
              <w:rPr>
                <w:rFonts w:ascii="仿宋" w:hAnsi="仿宋" w:eastAsia="仿宋"/>
                <w:b/>
                <w:szCs w:val="21"/>
              </w:rPr>
            </w:pPr>
            <w:r>
              <w:rPr>
                <w:rFonts w:hint="eastAsia" w:ascii="仿宋" w:hAnsi="仿宋" w:eastAsia="仿宋"/>
                <w:b/>
                <w:szCs w:val="21"/>
              </w:rPr>
              <w:t>一、项目背景</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（一）全面推进低效用地盘整是落实市委市政府重要部署的基本要求。低</w:t>
            </w:r>
            <w:bookmarkStart w:id="0" w:name="_GoBack"/>
            <w:bookmarkEnd w:id="0"/>
            <w:r>
              <w:rPr>
                <w:rFonts w:hint="eastAsia" w:ascii="仿宋" w:hAnsi="仿宋" w:eastAsia="仿宋"/>
                <w:bCs/>
                <w:szCs w:val="21"/>
              </w:rPr>
              <w:t>效用地盘整是全面贯彻党的二十大关于加快转变超大特大城市发展方式战略部署，落实二十届三中全会关于深化土地制度改革精神，以及党中央、国务院全面实施节约战略的重要举措。同时，也是落实自然资源部关于开展低效用地再开发试点的具体工作部署。根据市委市政府的工作部署，低效用地盘整工作需依法依规、科学有序推进，坚持规划引领、效益优先、综合施策，要用好用足国家相关政策工具，持续推动土地混合开发利用和用途合理转换，盘活存量、做优增量、提高质量，最大限度释放每一寸土地的价值。此外，市委市政府相关会议纪要还明确要求，通过分步实施、聚焦重点、片区统筹抓好落实工作。</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二）动态跟踪是全市推进低效用地盘整工作落地的重点，也是持续推动低效用地再开发的必然选择。动态跟踪是助推全市低效用地规划实施的重要抓手，更是市领导高度关注的“焦点”。持续跟踪低效用地盘整工作统筹实施情况，是落实市委市政府关于持续推动低效用地盘整重要指示的基本要求，更是保障低效用地再开发、助推城市可持续发展的核心关键。</w:t>
            </w:r>
          </w:p>
          <w:p>
            <w:pPr>
              <w:snapToGrid w:val="0"/>
              <w:spacing w:line="355" w:lineRule="auto"/>
              <w:ind w:firstLine="420" w:firstLineChars="200"/>
            </w:pPr>
            <w:r>
              <w:rPr>
                <w:rFonts w:hint="eastAsia" w:ascii="仿宋" w:hAnsi="仿宋" w:eastAsia="仿宋"/>
                <w:bCs/>
                <w:szCs w:val="21"/>
              </w:rPr>
              <w:t>（三）开展年度实施技术服务是落实市委市政府“抓紧抓细抓实”服务保障的重要举措。2025年2月6日，市委常委会召开扩大会议，会议要求“聚精会神搞建设，一心一意谋发展，坚持在经济运行中抓紧抓细抓实经济运行的分析调度和服务保障”。低效用地盘整是土地和空间供应的重要保障，但同时相关政策综合性较强，部分实施路径相关政策仍在探索中。因此，需要通过聚焦年度实施，持续跟踪规划统筹实施情况，及时回应和解决实施过程中遇到的新困难、新问题，确保相关工作抓紧、抓细、抓实。</w:t>
            </w:r>
          </w:p>
          <w:p>
            <w:pPr>
              <w:snapToGrid w:val="0"/>
              <w:spacing w:line="355" w:lineRule="auto"/>
              <w:ind w:firstLine="421" w:firstLineChars="200"/>
              <w:rPr>
                <w:rFonts w:ascii="仿宋" w:hAnsi="仿宋" w:eastAsia="仿宋"/>
                <w:b/>
                <w:szCs w:val="21"/>
              </w:rPr>
            </w:pPr>
            <w:r>
              <w:rPr>
                <w:rFonts w:hint="eastAsia" w:ascii="仿宋" w:hAnsi="仿宋" w:eastAsia="仿宋"/>
                <w:b/>
                <w:szCs w:val="21"/>
              </w:rPr>
              <w:t>二、工作目标</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落实和市委市政府关于低效用地盘整2025年工作要求，持续提高土地利用效率，推动城市高质量发展，更好激发投资活力，持之以恒增加城市发展“集约度”。通过聚焦年度动态跟踪与实施评估，持续跟踪规划实施情况，及时回应和解决实施过程中遇到的新困难、新问题，“抓紧抓细抓实”空间保障服务。</w:t>
            </w:r>
          </w:p>
          <w:p>
            <w:pPr>
              <w:snapToGrid w:val="0"/>
              <w:spacing w:line="355" w:lineRule="auto"/>
              <w:ind w:firstLine="421" w:firstLineChars="200"/>
              <w:rPr>
                <w:rFonts w:ascii="仿宋" w:hAnsi="仿宋" w:eastAsia="仿宋"/>
                <w:b/>
                <w:szCs w:val="21"/>
              </w:rPr>
            </w:pPr>
            <w:r>
              <w:rPr>
                <w:rFonts w:hint="eastAsia" w:ascii="仿宋" w:hAnsi="仿宋" w:eastAsia="仿宋"/>
                <w:b/>
                <w:szCs w:val="21"/>
              </w:rPr>
              <w:t>三、工作内容</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（一）动态跟踪低效用地盘整实施情况</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低效用地盘整工作已成为市委市政府面向2035年的战略部署，为更好保障相关工作实施落地，应及时跟进市委市政府关于低效用地盘整工作的相关要求，定期更新低效用地盘整规划实施相关信息和要求，定期跟踪北京、上海、广州等其他低效用地再开发试点城市工作进展。</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（二）开展2025年度低效用地盘整实施评估工作</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聚焦重点领域和重点片区，开展低效用地盘整规划实施评估工作，评估年度目标完成情况，对于未完成的目标分析具体原因。评估年度任务执行情况，检查各项任务是否按计划进度推进，有无延迟或提前完成的情况，评估已完成任务的质量是否达到预期标准。</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（三）开展2025年度低效用地盘整实施技术服务</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开展年度计划重点项目实施跟踪调整技术服务，对需要调整的重点项目开展初步筛查。开展项目实施政策与措施落实技术服务。低效用地盘整实施路径涵盖低效公共设施用地盘整、存量建筑用途转换、拆除重建类城市更新、土地整备、“产业用地提容”等，在实施过程中及时发现和回应各类实施路径中存在的痛点和难点问题。形成有关政策的年度制修订目标，推进相关政策工具箱的完善，保障项目的顺利实施。</w:t>
            </w:r>
          </w:p>
          <w:p>
            <w:pPr>
              <w:snapToGrid w:val="0"/>
              <w:spacing w:line="355" w:lineRule="auto"/>
              <w:ind w:firstLine="421" w:firstLineChars="200"/>
              <w:rPr>
                <w:rFonts w:ascii="仿宋" w:hAnsi="仿宋" w:eastAsia="仿宋"/>
                <w:b/>
                <w:szCs w:val="21"/>
              </w:rPr>
            </w:pPr>
            <w:r>
              <w:rPr>
                <w:rFonts w:hint="eastAsia" w:ascii="仿宋" w:hAnsi="仿宋" w:eastAsia="仿宋"/>
                <w:b/>
                <w:szCs w:val="21"/>
              </w:rPr>
              <w:t>四、项目成果</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本项目成果包括：</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（一）《2025年度深圳市低效用地盘整动态跟踪报告》，格式为DOC、PDF格式。</w:t>
            </w:r>
          </w:p>
          <w:p>
            <w:pPr>
              <w:snapToGrid w:val="0"/>
              <w:spacing w:line="355" w:lineRule="auto"/>
              <w:ind w:firstLine="420" w:firstLineChars="200"/>
              <w:rPr>
                <w:rFonts w:hint="eastAsia" w:ascii="仿宋" w:hAnsi="仿宋" w:eastAsia="仿宋"/>
                <w:bCs/>
                <w:szCs w:val="21"/>
              </w:rPr>
            </w:pPr>
            <w:r>
              <w:rPr>
                <w:rFonts w:hint="eastAsia" w:ascii="仿宋" w:hAnsi="仿宋" w:eastAsia="仿宋"/>
                <w:bCs/>
                <w:szCs w:val="21"/>
              </w:rPr>
              <w:t>（二）《2025年度深圳市低效用地盘整实施评估》，格式为DOC、PDF格式。</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（三）《2025年度深圳市低效用地盘整实施技术服务报告》，格式为DOC、PDF格式。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拟定供应商名单：</w:t>
            </w:r>
          </w:p>
          <w:p>
            <w:pPr>
              <w:spacing w:before="62" w:beforeLines="20" w:line="440" w:lineRule="exact"/>
              <w:ind w:firstLine="420" w:firstLineChars="200"/>
              <w:rPr>
                <w:rFonts w:ascii="仿宋" w:hAnsi="仿宋" w:eastAsia="仿宋"/>
                <w:szCs w:val="21"/>
              </w:rPr>
            </w:pPr>
            <w:r>
              <w:rPr>
                <w:rFonts w:hint="eastAsia" w:ascii="仿宋" w:hAnsi="仿宋" w:eastAsia="仿宋"/>
                <w:szCs w:val="21"/>
              </w:rPr>
              <w:t>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156" w:beforeLines="50" w:line="440" w:lineRule="exact"/>
              <w:rPr>
                <w:rFonts w:ascii="仿宋" w:hAnsi="仿宋" w:eastAsia="仿宋"/>
                <w:bCs/>
                <w:szCs w:val="21"/>
              </w:rPr>
            </w:pPr>
            <w:r>
              <w:rPr>
                <w:rFonts w:ascii="仿宋" w:hAnsi="仿宋" w:eastAsia="仿宋"/>
                <w:bCs/>
                <w:szCs w:val="21"/>
              </w:rPr>
              <w:t>申请理由及相关说明：</w:t>
            </w:r>
          </w:p>
          <w:p>
            <w:pPr>
              <w:snapToGrid w:val="0"/>
              <w:spacing w:line="355" w:lineRule="auto"/>
              <w:ind w:firstLine="420" w:firstLineChars="200"/>
              <w:rPr>
                <w:rFonts w:ascii="仿宋" w:hAnsi="仿宋" w:eastAsia="仿宋"/>
                <w:bCs/>
                <w:szCs w:val="21"/>
                <w:highlight w:val="yellow"/>
              </w:rPr>
            </w:pPr>
            <w:r>
              <w:rPr>
                <w:rFonts w:hint="eastAsia" w:ascii="仿宋" w:hAnsi="仿宋" w:eastAsia="仿宋"/>
                <w:bCs/>
                <w:szCs w:val="21"/>
              </w:rPr>
              <w:t>（一）申请非公开招标的采购方式、理由</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本项目拟采用单一来源的采购方式，主要原因包括三方面：</w:t>
            </w:r>
          </w:p>
          <w:p>
            <w:pPr>
              <w:snapToGrid w:val="0"/>
              <w:spacing w:line="355" w:lineRule="auto"/>
              <w:ind w:firstLine="420"/>
              <w:rPr>
                <w:rFonts w:ascii="仿宋" w:hAnsi="仿宋" w:eastAsia="仿宋"/>
                <w:bCs/>
                <w:szCs w:val="21"/>
              </w:rPr>
            </w:pPr>
            <w:r>
              <w:rPr>
                <w:rFonts w:hint="eastAsia" w:ascii="仿宋" w:hAnsi="仿宋" w:eastAsia="仿宋"/>
                <w:bCs/>
                <w:szCs w:val="21"/>
              </w:rPr>
              <w:t>1、项目具有保密要求。低效用地盘整部分项目为保密、敏感性项目，涉及城市更新、土地整备、旧工业区、城中村、旧住宅区等较多敏感内容，涉及利益比较复杂，项目推进过程中会接触大量保密资料，开展相关动态跟踪与实施评估需要严格控制知悉范围，避免对经济社会产生不必要的干扰。故项目不适合以公开招标方式采购。</w:t>
            </w:r>
          </w:p>
          <w:p>
            <w:pPr>
              <w:snapToGrid w:val="0"/>
              <w:spacing w:line="355" w:lineRule="auto"/>
              <w:ind w:firstLine="420"/>
              <w:rPr>
                <w:rFonts w:ascii="仿宋" w:hAnsi="仿宋" w:eastAsia="仿宋"/>
                <w:bCs/>
                <w:szCs w:val="21"/>
              </w:rPr>
            </w:pPr>
            <w:r>
              <w:rPr>
                <w:rFonts w:hint="eastAsia" w:ascii="仿宋" w:hAnsi="仿宋" w:eastAsia="仿宋"/>
                <w:bCs/>
                <w:szCs w:val="21"/>
              </w:rPr>
              <w:t>2、项目具有服务配套要求。本项目是低效用地盘整规划的后续工作，需要项目技术单位开展过深圳低效用地盘整规划编制相关工作，长期跟踪深圳低效用地盘整实施情况及政策制定工作，熟悉低效用地的开发管理运营、历史遗留问题等情况，同时与市交通、经信、住建等相关部门以及各区保持密切沟通和协作，要求具有丰富的政府课题研究和实践经验，满足条件的技术单位有限。</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3、项目需要保证整体利益最大化。项目旨在统筹兼顾经济、生活、生态、安全等多元需要，促进全市国土空间布局更合理、结构更优化、功能更完善、设施更完备，这需要项目单位能站在政府立场，保障包括公共利益在内的公共利益最大化，因此不适合市场主体过多参与。</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（二）参与非公开招标的供应商的产生方式、理由</w:t>
            </w:r>
          </w:p>
          <w:p>
            <w:pPr>
              <w:snapToGrid w:val="0"/>
              <w:spacing w:line="355" w:lineRule="auto"/>
              <w:ind w:firstLine="420" w:firstLineChars="200"/>
              <w:rPr>
                <w:rFonts w:ascii="仿宋" w:hAnsi="仿宋" w:eastAsia="仿宋"/>
                <w:bCs/>
                <w:szCs w:val="21"/>
              </w:rPr>
            </w:pPr>
            <w:r>
              <w:rPr>
                <w:rFonts w:hint="eastAsia" w:ascii="仿宋" w:hAnsi="仿宋" w:eastAsia="仿宋"/>
                <w:bCs/>
                <w:szCs w:val="21"/>
              </w:rPr>
              <w:t>本项目拟定深圳市规划国土发展研究中心作为供应商，理由如下：</w:t>
            </w:r>
          </w:p>
          <w:p>
            <w:pPr>
              <w:snapToGrid w:val="0"/>
              <w:spacing w:line="360" w:lineRule="auto"/>
              <w:ind w:firstLine="420" w:firstLineChars="200"/>
              <w:rPr>
                <w:rFonts w:ascii="仿宋" w:hAnsi="仿宋" w:eastAsia="仿宋"/>
                <w:bCs/>
                <w:szCs w:val="21"/>
              </w:rPr>
            </w:pPr>
            <w:r>
              <w:rPr>
                <w:rFonts w:ascii="仿宋" w:hAnsi="仿宋" w:eastAsia="仿宋"/>
                <w:bCs/>
                <w:szCs w:val="21"/>
              </w:rPr>
              <w:t>1</w:t>
            </w:r>
            <w:r>
              <w:rPr>
                <w:rFonts w:hint="eastAsia" w:ascii="仿宋" w:hAnsi="仿宋" w:eastAsia="仿宋"/>
                <w:bCs/>
                <w:szCs w:val="21"/>
              </w:rPr>
              <w:t>、满足保密要求。该单位具有丰富的涉密信息及涉密数据处理经验、完善的保密数据处理硬件环境、健全的保密教育培训体系和严格的数据保密流程，能够从制度、人员到软硬件等各个方面保证项目保密要求。</w:t>
            </w:r>
          </w:p>
          <w:p>
            <w:pPr>
              <w:snapToGrid w:val="0"/>
              <w:spacing w:line="360" w:lineRule="auto"/>
              <w:ind w:firstLine="420"/>
              <w:rPr>
                <w:rFonts w:ascii="仿宋" w:hAnsi="仿宋" w:eastAsia="仿宋"/>
                <w:bCs/>
                <w:szCs w:val="21"/>
              </w:rPr>
            </w:pPr>
            <w:r>
              <w:rPr>
                <w:rFonts w:ascii="仿宋" w:hAnsi="仿宋" w:eastAsia="仿宋"/>
                <w:bCs/>
                <w:szCs w:val="21"/>
              </w:rPr>
              <w:t>2</w:t>
            </w:r>
            <w:r>
              <w:rPr>
                <w:rFonts w:hint="eastAsia" w:ascii="仿宋" w:hAnsi="仿宋" w:eastAsia="仿宋"/>
                <w:bCs/>
                <w:szCs w:val="21"/>
              </w:rPr>
              <w:t>、满足一致性和服务配套要求。该单位长期跟踪并参与了深圳市低效用地盘整相关规划编制、政策研究、项目技术审查工作，在相关低效用地盘整方面积累了较丰厚的经验，在既有成果基础上承担本项目工作，能够较好满足相关工作的一致性、延续性和服务配套要求。</w:t>
            </w:r>
          </w:p>
          <w:p>
            <w:pPr>
              <w:snapToGrid w:val="0"/>
              <w:spacing w:line="360" w:lineRule="auto"/>
              <w:ind w:firstLine="420" w:firstLineChars="200"/>
              <w:rPr>
                <w:rFonts w:ascii="仿宋" w:hAnsi="仿宋" w:eastAsia="仿宋"/>
                <w:bCs/>
                <w:szCs w:val="21"/>
              </w:rPr>
            </w:pPr>
            <w:r>
              <w:rPr>
                <w:rFonts w:hint="eastAsia" w:ascii="仿宋" w:hAnsi="仿宋" w:eastAsia="仿宋"/>
                <w:bCs/>
                <w:szCs w:val="21"/>
              </w:rPr>
              <w:t>3、满足整体利益最大化要求。该单位是我市规划研究机构中唯一一家仅承担政府委托类项目、不承担市场委托类项目的专业性非盈利性机构，能够站在客观公正的角度保证包括公共利益在内的整体利益最大化，最大限度保障公共利益。</w:t>
            </w:r>
          </w:p>
          <w:p>
            <w:pPr>
              <w:snapToGrid w:val="0"/>
              <w:spacing w:line="360" w:lineRule="auto"/>
              <w:ind w:firstLine="420" w:firstLineChars="200"/>
              <w:rPr>
                <w:rFonts w:ascii="仿宋" w:hAnsi="仿宋" w:eastAsia="仿宋"/>
                <w:bCs/>
                <w:szCs w:val="21"/>
              </w:rPr>
            </w:pPr>
            <w:r>
              <w:rPr>
                <w:rFonts w:hint="eastAsia" w:ascii="仿宋" w:hAnsi="仿宋" w:eastAsia="仿宋"/>
                <w:bCs/>
                <w:szCs w:val="21"/>
              </w:rPr>
              <w:t>综上，从保密性、一致性、公益性等方面综合评价，深圳市规划国土发展研究中心是唯一符合项目要求的供应商。因此，拟定深圳市规划国土发展研究中心为项目供应商。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征求意见期限：</w:t>
            </w:r>
          </w:p>
          <w:p>
            <w:pPr>
              <w:spacing w:before="62" w:beforeLines="20" w:after="62" w:afterLines="20" w:line="440" w:lineRule="exact"/>
              <w:ind w:firstLine="420" w:firstLineChars="200"/>
              <w:rPr>
                <w:rFonts w:ascii="仿宋" w:hAnsi="仿宋" w:eastAsia="仿宋"/>
                <w:szCs w:val="21"/>
              </w:rPr>
            </w:pPr>
            <w:r>
              <w:rPr>
                <w:rFonts w:ascii="仿宋" w:hAnsi="仿宋" w:eastAsia="仿宋"/>
                <w:bCs/>
                <w:szCs w:val="21"/>
              </w:rPr>
              <w:t>从2025年3月</w:t>
            </w:r>
            <w:r>
              <w:rPr>
                <w:rFonts w:hint="eastAsia" w:ascii="仿宋" w:hAnsi="仿宋" w:eastAsia="仿宋"/>
                <w:bCs/>
                <w:szCs w:val="21"/>
              </w:rPr>
              <w:t>XX</w:t>
            </w:r>
            <w:r>
              <w:rPr>
                <w:rFonts w:ascii="仿宋" w:hAnsi="仿宋" w:eastAsia="仿宋"/>
                <w:bCs/>
                <w:szCs w:val="21"/>
              </w:rPr>
              <w:t>日起至2025年3月</w:t>
            </w:r>
            <w:r>
              <w:rPr>
                <w:rFonts w:hint="eastAsia" w:ascii="仿宋" w:hAnsi="仿宋" w:eastAsia="仿宋"/>
                <w:bCs/>
                <w:szCs w:val="21"/>
              </w:rPr>
              <w:t>XX</w:t>
            </w:r>
            <w:r>
              <w:rPr>
                <w:rFonts w:ascii="仿宋" w:hAnsi="仿宋" w:eastAsia="仿宋"/>
                <w:bCs/>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宋体"/>
                <w:kern w:val="0"/>
                <w:szCs w:val="21"/>
              </w:rPr>
            </w:pPr>
            <w:r>
              <w:rPr>
                <w:rFonts w:ascii="仿宋" w:hAnsi="仿宋" w:eastAsia="仿宋" w:cs="宋体"/>
                <w:bCs/>
                <w:kern w:val="0"/>
                <w:szCs w:val="21"/>
              </w:rPr>
              <w:t>联系方式：</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采购人:深圳市规划和自然资源局</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联系人：</w:t>
            </w:r>
            <w:r>
              <w:rPr>
                <w:rFonts w:hint="eastAsia" w:ascii="仿宋" w:hAnsi="仿宋" w:eastAsia="仿宋" w:cs="宋体"/>
                <w:kern w:val="0"/>
                <w:szCs w:val="21"/>
              </w:rPr>
              <w:t>孙凌</w:t>
            </w:r>
          </w:p>
          <w:p>
            <w:pPr>
              <w:widowControl/>
              <w:spacing w:before="100" w:beforeAutospacing="1" w:after="100" w:afterAutospacing="1" w:line="320" w:lineRule="exact"/>
              <w:jc w:val="left"/>
              <w:rPr>
                <w:rFonts w:ascii="仿宋" w:hAnsi="仿宋" w:eastAsia="仿宋" w:cs="宋体"/>
                <w:kern w:val="0"/>
                <w:szCs w:val="21"/>
              </w:rPr>
            </w:pPr>
            <w:r>
              <w:rPr>
                <w:rFonts w:ascii="仿宋" w:hAnsi="仿宋" w:eastAsia="仿宋" w:cs="宋体"/>
                <w:kern w:val="0"/>
                <w:szCs w:val="21"/>
              </w:rPr>
              <w:t>　　地址：深圳市红荔西路8007号</w:t>
            </w:r>
            <w:r>
              <w:rPr>
                <w:rFonts w:hint="eastAsia" w:ascii="仿宋" w:hAnsi="仿宋" w:eastAsia="仿宋" w:cs="宋体"/>
                <w:kern w:val="0"/>
                <w:szCs w:val="21"/>
              </w:rPr>
              <w:t>交易</w:t>
            </w:r>
            <w:r>
              <w:rPr>
                <w:rFonts w:ascii="仿宋" w:hAnsi="仿宋" w:eastAsia="仿宋" w:cs="宋体"/>
                <w:kern w:val="0"/>
                <w:szCs w:val="21"/>
              </w:rPr>
              <w:t>大厦</w:t>
            </w:r>
          </w:p>
          <w:p>
            <w:pPr>
              <w:widowControl/>
              <w:spacing w:before="100" w:beforeAutospacing="1" w:after="100" w:afterAutospacing="1" w:line="320" w:lineRule="exact"/>
              <w:ind w:firstLine="420" w:firstLineChars="200"/>
              <w:jc w:val="left"/>
              <w:rPr>
                <w:rFonts w:ascii="仿宋" w:hAnsi="仿宋" w:eastAsia="仿宋" w:cs="宋体"/>
                <w:kern w:val="0"/>
                <w:szCs w:val="21"/>
              </w:rPr>
            </w:pPr>
            <w:r>
              <w:rPr>
                <w:rFonts w:ascii="仿宋" w:hAnsi="仿宋" w:eastAsia="仿宋" w:cs="宋体"/>
                <w:kern w:val="0"/>
                <w:szCs w:val="21"/>
              </w:rPr>
              <w:t>联系电话：83949565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1"/>
              </w:rPr>
            </w:pPr>
            <w:r>
              <w:rPr>
                <w:rFonts w:ascii="仿宋" w:hAnsi="仿宋" w:eastAsia="仿宋"/>
                <w:bCs/>
                <w:szCs w:val="21"/>
              </w:rPr>
              <w:t>备注：</w:t>
            </w:r>
            <w:r>
              <w:rPr>
                <w:rFonts w:ascii="仿宋" w:hAnsi="仿宋" w:eastAsia="仿宋"/>
                <w:szCs w:val="21"/>
              </w:rPr>
              <w:t>潜在政府采购供应商对公示内容有异议的，请于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深圳市规划和自然资源局。</w:t>
            </w:r>
          </w:p>
        </w:tc>
      </w:tr>
    </w:tbl>
    <w:p>
      <w:pPr>
        <w:rPr>
          <w:rFonts w:ascii="仿宋" w:hAnsi="仿宋" w:eastAsia="仿宋"/>
          <w:szCs w:val="21"/>
        </w:rPr>
      </w:pPr>
      <w:r>
        <w:rPr>
          <w:rFonts w:hint="eastAsia" w:ascii="仿宋" w:hAnsi="仿宋" w:eastAsia="仿宋"/>
          <w:szCs w:val="21"/>
        </w:rPr>
        <w:t>上述内容需包括：</w:t>
      </w:r>
    </w:p>
    <w:p>
      <w:pPr>
        <w:widowControl/>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pPr>
        <w:rPr>
          <w:rFonts w:ascii="仿宋" w:hAnsi="仿宋" w:eastAsia="仿宋"/>
        </w:rPr>
      </w:pPr>
      <w:r>
        <w:rPr>
          <w:rFonts w:hint="eastAsia" w:ascii="仿宋" w:hAnsi="仿宋" w:eastAsia="仿宋" w:cs="宋体"/>
          <w:kern w:val="0"/>
          <w:sz w:val="20"/>
          <w:szCs w:val="20"/>
        </w:rPr>
        <w:t>（六）涉密、应急项目的认定材料。</w:t>
      </w:r>
    </w:p>
    <w:p>
      <w:pPr>
        <w:spacing w:line="56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BA"/>
    <w:rsid w:val="00000F5B"/>
    <w:rsid w:val="00010E91"/>
    <w:rsid w:val="00033E9C"/>
    <w:rsid w:val="000534F9"/>
    <w:rsid w:val="00056A23"/>
    <w:rsid w:val="000B017F"/>
    <w:rsid w:val="000C35E5"/>
    <w:rsid w:val="000D1BE0"/>
    <w:rsid w:val="000F0A19"/>
    <w:rsid w:val="000F6954"/>
    <w:rsid w:val="0011313B"/>
    <w:rsid w:val="0018709A"/>
    <w:rsid w:val="001A2144"/>
    <w:rsid w:val="001A4F82"/>
    <w:rsid w:val="001B1292"/>
    <w:rsid w:val="001C3C84"/>
    <w:rsid w:val="001C3F38"/>
    <w:rsid w:val="00205BFC"/>
    <w:rsid w:val="0023229A"/>
    <w:rsid w:val="00233CE3"/>
    <w:rsid w:val="00234882"/>
    <w:rsid w:val="002529EE"/>
    <w:rsid w:val="002864D6"/>
    <w:rsid w:val="00287C71"/>
    <w:rsid w:val="002A2507"/>
    <w:rsid w:val="002A4B60"/>
    <w:rsid w:val="002B561F"/>
    <w:rsid w:val="002D74C1"/>
    <w:rsid w:val="002E4B14"/>
    <w:rsid w:val="002E4DF2"/>
    <w:rsid w:val="002F0CF2"/>
    <w:rsid w:val="00312ACF"/>
    <w:rsid w:val="0036413C"/>
    <w:rsid w:val="00384233"/>
    <w:rsid w:val="003A48BD"/>
    <w:rsid w:val="00490D1D"/>
    <w:rsid w:val="00493BCF"/>
    <w:rsid w:val="004A6FC7"/>
    <w:rsid w:val="004B0585"/>
    <w:rsid w:val="004D2E58"/>
    <w:rsid w:val="004F1292"/>
    <w:rsid w:val="004F2E18"/>
    <w:rsid w:val="004F52BF"/>
    <w:rsid w:val="0051083F"/>
    <w:rsid w:val="00563AF1"/>
    <w:rsid w:val="00571E87"/>
    <w:rsid w:val="005D0556"/>
    <w:rsid w:val="005E34C7"/>
    <w:rsid w:val="005E6900"/>
    <w:rsid w:val="00645823"/>
    <w:rsid w:val="006532D3"/>
    <w:rsid w:val="006649B0"/>
    <w:rsid w:val="006679D0"/>
    <w:rsid w:val="00676FD8"/>
    <w:rsid w:val="006867F3"/>
    <w:rsid w:val="006B5BF1"/>
    <w:rsid w:val="006E5559"/>
    <w:rsid w:val="0070141D"/>
    <w:rsid w:val="00711AE2"/>
    <w:rsid w:val="007221ED"/>
    <w:rsid w:val="00722B1D"/>
    <w:rsid w:val="00744DD7"/>
    <w:rsid w:val="007673B6"/>
    <w:rsid w:val="007704AC"/>
    <w:rsid w:val="007821EC"/>
    <w:rsid w:val="007879C1"/>
    <w:rsid w:val="007979E5"/>
    <w:rsid w:val="007E5F33"/>
    <w:rsid w:val="007E7FA9"/>
    <w:rsid w:val="007F071E"/>
    <w:rsid w:val="00803CEE"/>
    <w:rsid w:val="008406D6"/>
    <w:rsid w:val="008657E6"/>
    <w:rsid w:val="008941AA"/>
    <w:rsid w:val="008A10B4"/>
    <w:rsid w:val="008E5CC8"/>
    <w:rsid w:val="0091532D"/>
    <w:rsid w:val="009556FC"/>
    <w:rsid w:val="0095595C"/>
    <w:rsid w:val="00955A3C"/>
    <w:rsid w:val="00955E9F"/>
    <w:rsid w:val="00964372"/>
    <w:rsid w:val="009F439D"/>
    <w:rsid w:val="009F7B69"/>
    <w:rsid w:val="00A04C1C"/>
    <w:rsid w:val="00A15BC8"/>
    <w:rsid w:val="00A25FC4"/>
    <w:rsid w:val="00A67C8B"/>
    <w:rsid w:val="00A71548"/>
    <w:rsid w:val="00A85BCD"/>
    <w:rsid w:val="00AB4C89"/>
    <w:rsid w:val="00AB632F"/>
    <w:rsid w:val="00AD6766"/>
    <w:rsid w:val="00AD771F"/>
    <w:rsid w:val="00AE3F0A"/>
    <w:rsid w:val="00AE47E8"/>
    <w:rsid w:val="00AF1CBA"/>
    <w:rsid w:val="00AF38F4"/>
    <w:rsid w:val="00B0099F"/>
    <w:rsid w:val="00B31C88"/>
    <w:rsid w:val="00B36B05"/>
    <w:rsid w:val="00B5094B"/>
    <w:rsid w:val="00B57432"/>
    <w:rsid w:val="00B60513"/>
    <w:rsid w:val="00B62295"/>
    <w:rsid w:val="00B90230"/>
    <w:rsid w:val="00B92893"/>
    <w:rsid w:val="00B96871"/>
    <w:rsid w:val="00BA2E50"/>
    <w:rsid w:val="00BB7EFC"/>
    <w:rsid w:val="00BD2145"/>
    <w:rsid w:val="00BE043A"/>
    <w:rsid w:val="00BF052D"/>
    <w:rsid w:val="00C03890"/>
    <w:rsid w:val="00C151B6"/>
    <w:rsid w:val="00C52FE2"/>
    <w:rsid w:val="00C5697A"/>
    <w:rsid w:val="00C61F66"/>
    <w:rsid w:val="00D00B88"/>
    <w:rsid w:val="00D0549A"/>
    <w:rsid w:val="00D158B6"/>
    <w:rsid w:val="00D24848"/>
    <w:rsid w:val="00D24C26"/>
    <w:rsid w:val="00D56E1B"/>
    <w:rsid w:val="00D6610C"/>
    <w:rsid w:val="00D7376C"/>
    <w:rsid w:val="00D92D2B"/>
    <w:rsid w:val="00D968F8"/>
    <w:rsid w:val="00DA4BE8"/>
    <w:rsid w:val="00DD78BE"/>
    <w:rsid w:val="00E13A96"/>
    <w:rsid w:val="00E17E0D"/>
    <w:rsid w:val="00E50014"/>
    <w:rsid w:val="00E65720"/>
    <w:rsid w:val="00E81E2F"/>
    <w:rsid w:val="00EA2C7C"/>
    <w:rsid w:val="00ED5BA1"/>
    <w:rsid w:val="00EE071F"/>
    <w:rsid w:val="00EE0C56"/>
    <w:rsid w:val="00EF6AC4"/>
    <w:rsid w:val="00F0271B"/>
    <w:rsid w:val="00F04B62"/>
    <w:rsid w:val="00F05692"/>
    <w:rsid w:val="00F11CD8"/>
    <w:rsid w:val="00F46578"/>
    <w:rsid w:val="00FA307A"/>
    <w:rsid w:val="00FA35EF"/>
    <w:rsid w:val="00FB0827"/>
    <w:rsid w:val="00FB1A8B"/>
    <w:rsid w:val="00FB6DA1"/>
    <w:rsid w:val="00FC2881"/>
    <w:rsid w:val="00FD2050"/>
    <w:rsid w:val="00FD3705"/>
    <w:rsid w:val="00FD403B"/>
    <w:rsid w:val="2AB27615"/>
    <w:rsid w:val="3FEE76B2"/>
    <w:rsid w:val="5F1E6643"/>
    <w:rsid w:val="FFBAB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b/>
      <w:bCs/>
      <w:sz w:val="44"/>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442</Words>
  <Characters>2526</Characters>
  <Lines>21</Lines>
  <Paragraphs>5</Paragraphs>
  <TotalTime>81</TotalTime>
  <ScaleCrop>false</ScaleCrop>
  <LinksUpToDate>false</LinksUpToDate>
  <CharactersWithSpaces>2963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2022-10-17T16:09:00Z</dcterms:created>
  <dc:creator>洪修慧</dc:creator>
  <cp:lastModifiedBy>sunl</cp:lastModifiedBy>
  <cp:lastPrinted>2022-03-25T14:19:00Z</cp:lastPrinted>
  <dcterms:modified xsi:type="dcterms:W3CDTF">2025-03-05T15:13:04Z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D6F973A02993469D982D10CF7DF8C640</vt:lpwstr>
  </property>
</Properties>
</file>