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0" w:lineRule="atLeast"/>
        <w:jc w:val="center"/>
        <w:rPr>
          <w:rFonts w:hint="eastAsia" w:ascii="华文中宋" w:hAnsi="华文中宋" w:eastAsia="华文中宋"/>
          <w:b/>
          <w:sz w:val="36"/>
          <w:szCs w:val="36"/>
          <w:lang w:val="en-US" w:eastAsia="zh-CN"/>
        </w:rPr>
      </w:pPr>
      <w:r>
        <w:rPr>
          <w:rFonts w:hint="eastAsia" w:ascii="华文中宋" w:hAnsi="华文中宋" w:eastAsia="华文中宋"/>
          <w:b/>
          <w:sz w:val="36"/>
          <w:szCs w:val="36"/>
        </w:rPr>
        <w:t>深圳市地</w:t>
      </w:r>
      <w:r>
        <w:rPr>
          <w:rFonts w:hint="eastAsia" w:ascii="华文中宋" w:hAnsi="华文中宋" w:eastAsia="华文中宋"/>
          <w:b/>
          <w:sz w:val="36"/>
          <w:szCs w:val="36"/>
        </w:rPr>
        <w:t>方</w:t>
      </w:r>
      <w:r>
        <w:rPr>
          <w:rFonts w:hint="eastAsia" w:ascii="华文中宋" w:hAnsi="华文中宋" w:eastAsia="华文中宋"/>
          <w:b/>
          <w:sz w:val="36"/>
          <w:szCs w:val="36"/>
        </w:rPr>
        <w:t>标准</w:t>
      </w:r>
      <w:r>
        <w:rPr>
          <w:rFonts w:hint="eastAsia" w:ascii="华文中宋" w:hAnsi="华文中宋" w:eastAsia="华文中宋"/>
          <w:b/>
          <w:sz w:val="36"/>
          <w:szCs w:val="36"/>
          <w:lang w:eastAsia="zh-CN"/>
        </w:rPr>
        <w:t>《</w:t>
      </w:r>
      <w:r>
        <w:rPr>
          <w:rFonts w:hint="eastAsia" w:ascii="华文中宋" w:hAnsi="华文中宋" w:eastAsia="华文中宋"/>
          <w:b/>
          <w:sz w:val="36"/>
          <w:szCs w:val="36"/>
          <w:lang w:val="en-US" w:eastAsia="zh-CN"/>
        </w:rPr>
        <w:t>海洋自然资源资产核算技术规范</w:t>
      </w:r>
    </w:p>
    <w:p>
      <w:pPr>
        <w:snapToGrid w:val="0"/>
        <w:spacing w:line="0" w:lineRule="atLeast"/>
        <w:jc w:val="center"/>
        <w:rPr>
          <w:rFonts w:hint="eastAsia" w:ascii="华文中宋" w:hAnsi="华文中宋" w:eastAsia="华文中宋"/>
          <w:b/>
          <w:sz w:val="36"/>
          <w:szCs w:val="36"/>
        </w:rPr>
      </w:pPr>
      <w:r>
        <w:rPr>
          <w:rFonts w:hint="eastAsia" w:ascii="华文中宋" w:hAnsi="华文中宋" w:eastAsia="华文中宋"/>
          <w:b/>
          <w:sz w:val="36"/>
          <w:szCs w:val="36"/>
          <w:lang w:eastAsia="zh-CN"/>
        </w:rPr>
        <w:t>（征求意见稿）</w:t>
      </w:r>
      <w:r>
        <w:rPr>
          <w:rFonts w:hint="eastAsia" w:ascii="华文中宋" w:hAnsi="华文中宋" w:eastAsia="华文中宋"/>
          <w:b/>
          <w:sz w:val="36"/>
          <w:szCs w:val="36"/>
          <w:lang w:eastAsia="zh-CN"/>
        </w:rPr>
        <w:t>》</w:t>
      </w:r>
      <w:r>
        <w:rPr>
          <w:rFonts w:hint="eastAsia" w:ascii="华文中宋" w:hAnsi="华文中宋" w:eastAsia="华文中宋"/>
          <w:b/>
          <w:sz w:val="36"/>
          <w:szCs w:val="36"/>
        </w:rPr>
        <w:t>征求意见汇总处理表</w:t>
      </w:r>
    </w:p>
    <w:p>
      <w:pPr>
        <w:rPr>
          <w:rFonts w:hint="eastAsia" w:ascii="宋体" w:hAnsi="宋体" w:eastAsia="黑体" w:cs="Arial"/>
        </w:rPr>
      </w:pPr>
    </w:p>
    <w:p>
      <w:pPr>
        <w:spacing w:line="580" w:lineRule="exact"/>
        <w:ind w:firstLine="629"/>
        <w:rPr>
          <w:rFonts w:hint="eastAsia" w:ascii="宋体" w:hAnsi="宋体" w:eastAsia="黑体" w:cs="Arial"/>
          <w:color w:val="auto"/>
        </w:rPr>
      </w:pPr>
      <w:bookmarkStart w:id="0" w:name="_GoBack"/>
      <w:bookmarkEnd w:id="0"/>
      <w:r>
        <w:rPr>
          <w:rFonts w:hint="eastAsia" w:asciiTheme="minorEastAsia" w:hAnsiTheme="minorEastAsia" w:eastAsiaTheme="minorEastAsia" w:cstheme="minorEastAsia"/>
          <w:color w:val="auto"/>
          <w:sz w:val="24"/>
          <w:szCs w:val="24"/>
        </w:rPr>
        <w:t>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日至</w:t>
      </w:r>
      <w:r>
        <w:rPr>
          <w:rFonts w:hint="eastAsia" w:asciiTheme="minorEastAsia" w:hAnsiTheme="minorEastAsia" w:eastAsiaTheme="minorEastAsia" w:cstheme="minorEastAsia"/>
          <w:color w:val="auto"/>
          <w:sz w:val="24"/>
          <w:szCs w:val="24"/>
          <w:lang w:val="en-US" w:eastAsia="zh-CN"/>
        </w:rPr>
        <w:t>2025年3</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公开</w:t>
      </w:r>
      <w:r>
        <w:rPr>
          <w:rFonts w:hint="eastAsia" w:asciiTheme="minorEastAsia" w:hAnsiTheme="minorEastAsia" w:eastAsiaTheme="minorEastAsia" w:cstheme="minorEastAsia"/>
          <w:color w:val="auto"/>
          <w:sz w:val="24"/>
          <w:szCs w:val="24"/>
        </w:rPr>
        <w:t>征求意见</w:t>
      </w:r>
      <w:r>
        <w:rPr>
          <w:rFonts w:hint="eastAsia" w:asciiTheme="minorEastAsia" w:hAnsiTheme="minorEastAsia" w:eastAsiaTheme="minorEastAsia" w:cstheme="minorEastAsia"/>
          <w:color w:val="auto"/>
          <w:sz w:val="24"/>
          <w:szCs w:val="24"/>
          <w:lang w:eastAsia="zh-CN"/>
        </w:rPr>
        <w:t>，收到意见、建议共</w:t>
      </w:r>
      <w:r>
        <w:rPr>
          <w:rFonts w:hint="eastAsia" w:asciiTheme="minorEastAsia" w:hAnsiTheme="minorEastAsia" w:eastAsiaTheme="minorEastAsia" w:cstheme="minorEastAsia"/>
          <w:color w:val="auto"/>
          <w:sz w:val="24"/>
          <w:szCs w:val="24"/>
          <w:lang w:val="en-US" w:eastAsia="zh-CN"/>
        </w:rPr>
        <w:t>23条，</w:t>
      </w:r>
      <w:r>
        <w:rPr>
          <w:rFonts w:hint="eastAsia" w:asciiTheme="minorEastAsia" w:hAnsiTheme="minorEastAsia" w:eastAsiaTheme="minorEastAsia" w:cstheme="minorEastAsia"/>
          <w:color w:val="auto"/>
          <w:sz w:val="24"/>
          <w:szCs w:val="24"/>
        </w:rPr>
        <w:t>采纳</w:t>
      </w: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lang w:eastAsia="zh-CN"/>
        </w:rPr>
        <w:t>条，</w:t>
      </w:r>
      <w:r>
        <w:rPr>
          <w:rFonts w:hint="eastAsia" w:asciiTheme="minorEastAsia" w:hAnsiTheme="minorEastAsia" w:eastAsiaTheme="minorEastAsia" w:cstheme="minorEastAsia"/>
          <w:color w:val="auto"/>
          <w:sz w:val="24"/>
          <w:szCs w:val="24"/>
          <w:lang w:val="en-US" w:eastAsia="zh-CN"/>
        </w:rPr>
        <w:t>部分采纳5条，不采纳1条</w:t>
      </w:r>
      <w:r>
        <w:rPr>
          <w:rFonts w:hint="eastAsia" w:asciiTheme="minorEastAsia" w:hAnsiTheme="minorEastAsia" w:eastAsiaTheme="minorEastAsia" w:cstheme="minorEastAsia"/>
          <w:color w:val="auto"/>
          <w:sz w:val="24"/>
          <w:szCs w:val="24"/>
          <w:lang w:eastAsia="zh-CN"/>
        </w:rPr>
        <w:t>。</w:t>
      </w:r>
    </w:p>
    <w:p>
      <w:pPr>
        <w:rPr>
          <w:rFonts w:hint="eastAsia" w:ascii="宋体" w:hAnsi="宋体" w:eastAsia="黑体" w:cs="Arial"/>
        </w:rPr>
      </w:pPr>
    </w:p>
    <w:tbl>
      <w:tblPr>
        <w:tblStyle w:val="8"/>
        <w:tblW w:w="8405"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967"/>
        <w:gridCol w:w="1179"/>
        <w:gridCol w:w="1368"/>
        <w:gridCol w:w="1306"/>
        <w:gridCol w:w="1143"/>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 w:val="24"/>
              </w:rPr>
            </w:pPr>
            <w:r>
              <w:rPr>
                <w:rFonts w:hint="eastAsia" w:ascii="宋体" w:hAnsi="宋体" w:cs="Arial"/>
                <w:sz w:val="24"/>
              </w:rPr>
              <w:t>标</w:t>
            </w:r>
            <w:r>
              <w:rPr>
                <w:rFonts w:ascii="宋体" w:hAnsi="宋体" w:cs="Arial"/>
                <w:sz w:val="24"/>
              </w:rPr>
              <w:t>准</w:t>
            </w:r>
            <w:r>
              <w:rPr>
                <w:rFonts w:hint="eastAsia" w:ascii="宋体" w:hAnsi="宋体" w:cs="Arial"/>
                <w:sz w:val="24"/>
              </w:rPr>
              <w:t>名称</w:t>
            </w:r>
          </w:p>
        </w:tc>
        <w:tc>
          <w:tcPr>
            <w:tcW w:w="67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Arial"/>
                <w:sz w:val="24"/>
                <w:lang w:val="en-US" w:eastAsia="zh-CN"/>
              </w:rPr>
            </w:pPr>
            <w:r>
              <w:rPr>
                <w:rFonts w:hint="eastAsia" w:ascii="宋体" w:hAnsi="宋体" w:eastAsia="宋体" w:cs="Arial"/>
                <w:sz w:val="24"/>
                <w:lang w:val="en-US" w:eastAsia="zh-CN"/>
              </w:rPr>
              <w:t>海洋</w:t>
            </w:r>
            <w:r>
              <w:rPr>
                <w:rFonts w:hint="eastAsia" w:ascii="宋体" w:hAnsi="宋体" w:cs="Arial"/>
                <w:sz w:val="24"/>
                <w:lang w:val="en-US" w:eastAsia="zh-CN"/>
              </w:rPr>
              <w:t>自然</w:t>
            </w:r>
            <w:r>
              <w:rPr>
                <w:rFonts w:hint="eastAsia" w:ascii="宋体" w:hAnsi="宋体" w:eastAsia="宋体" w:cs="Arial"/>
                <w:sz w:val="24"/>
                <w:lang w:val="en-US" w:eastAsia="zh-CN"/>
              </w:rPr>
              <w:t>资源资产核算技术规范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Arial"/>
                <w:sz w:val="24"/>
              </w:rPr>
            </w:pPr>
            <w:r>
              <w:rPr>
                <w:rFonts w:hint="eastAsia" w:ascii="宋体" w:hAnsi="宋体" w:cs="Arial"/>
                <w:sz w:val="24"/>
              </w:rPr>
              <w:t>牵头起草</w:t>
            </w:r>
          </w:p>
          <w:p>
            <w:pPr>
              <w:jc w:val="center"/>
              <w:rPr>
                <w:rFonts w:ascii="宋体" w:hAnsi="宋体" w:cs="Arial"/>
                <w:sz w:val="24"/>
              </w:rPr>
            </w:pPr>
            <w:r>
              <w:rPr>
                <w:rFonts w:hint="eastAsia" w:ascii="宋体" w:hAnsi="宋体" w:cs="Arial"/>
                <w:sz w:val="24"/>
              </w:rPr>
              <w:t>单位</w:t>
            </w:r>
          </w:p>
        </w:tc>
        <w:tc>
          <w:tcPr>
            <w:tcW w:w="3853"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Arial"/>
                <w:sz w:val="24"/>
              </w:rPr>
            </w:pPr>
            <w:r>
              <w:rPr>
                <w:rFonts w:hint="eastAsia" w:ascii="宋体" w:hAnsi="宋体" w:cs="Arial"/>
                <w:sz w:val="24"/>
              </w:rPr>
              <w:t>深圳市自然资源和不动产评估发展研究中心</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Arial"/>
                <w:sz w:val="24"/>
              </w:rPr>
            </w:pPr>
            <w:r>
              <w:rPr>
                <w:rFonts w:hint="eastAsia" w:ascii="宋体" w:hAnsi="宋体" w:cs="Arial"/>
                <w:sz w:val="24"/>
              </w:rPr>
              <w:t>立项</w:t>
            </w:r>
          </w:p>
          <w:p>
            <w:pPr>
              <w:jc w:val="center"/>
              <w:rPr>
                <w:rFonts w:ascii="宋体" w:hAnsi="宋体" w:cs="Arial"/>
                <w:sz w:val="24"/>
              </w:rPr>
            </w:pPr>
            <w:r>
              <w:rPr>
                <w:rFonts w:hint="eastAsia" w:ascii="宋体" w:hAnsi="宋体" w:cs="Arial"/>
                <w:sz w:val="24"/>
              </w:rPr>
              <w:t>日期</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Arial"/>
                <w:sz w:val="24"/>
                <w:lang w:val="en-US" w:eastAsia="zh-CN"/>
              </w:rPr>
            </w:pPr>
            <w:r>
              <w:rPr>
                <w:rFonts w:hint="eastAsia" w:ascii="宋体" w:hAnsi="宋体" w:cs="Arial"/>
                <w:sz w:val="24"/>
                <w:lang w:val="en-US" w:eastAsia="zh-CN"/>
              </w:rPr>
              <w:t>2024年4月7日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auto"/>
                <w:sz w:val="24"/>
              </w:rPr>
            </w:pPr>
            <w:r>
              <w:rPr>
                <w:rFonts w:hint="eastAsia" w:ascii="宋体" w:hAnsi="宋体" w:cs="Arial"/>
                <w:color w:val="auto"/>
                <w:sz w:val="24"/>
              </w:rPr>
              <w:t>承办人</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Arial"/>
                <w:color w:val="auto"/>
                <w:sz w:val="24"/>
                <w:lang w:val="en-US" w:eastAsia="zh-CN"/>
              </w:rPr>
            </w:pPr>
            <w:r>
              <w:rPr>
                <w:rFonts w:hint="eastAsia" w:ascii="宋体" w:hAnsi="宋体" w:cs="Arial"/>
                <w:color w:val="auto"/>
                <w:sz w:val="24"/>
                <w:lang w:val="en-US" w:eastAsia="zh-CN"/>
              </w:rPr>
              <w:t>于君</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Arial"/>
                <w:color w:val="auto"/>
                <w:sz w:val="24"/>
              </w:rPr>
            </w:pPr>
            <w:r>
              <w:rPr>
                <w:rFonts w:hint="eastAsia" w:ascii="宋体" w:hAnsi="宋体" w:cs="Arial"/>
                <w:color w:val="auto"/>
                <w:sz w:val="24"/>
              </w:rPr>
              <w:t>职务/职称</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Arial"/>
                <w:color w:val="auto"/>
                <w:sz w:val="24"/>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Arial"/>
                <w:color w:val="auto"/>
                <w:sz w:val="24"/>
              </w:rPr>
            </w:pPr>
            <w:r>
              <w:rPr>
                <w:rFonts w:hint="eastAsia" w:ascii="宋体" w:hAnsi="宋体" w:cs="Arial"/>
                <w:color w:val="auto"/>
                <w:sz w:val="24"/>
              </w:rPr>
              <w:t>联系</w:t>
            </w:r>
          </w:p>
          <w:p>
            <w:pPr>
              <w:jc w:val="center"/>
              <w:rPr>
                <w:rFonts w:ascii="宋体" w:hAnsi="宋体" w:cs="Arial"/>
                <w:color w:val="auto"/>
                <w:sz w:val="24"/>
              </w:rPr>
            </w:pPr>
            <w:r>
              <w:rPr>
                <w:rFonts w:hint="eastAsia" w:ascii="宋体" w:hAnsi="宋体" w:cs="Arial"/>
                <w:color w:val="auto"/>
                <w:sz w:val="24"/>
              </w:rPr>
              <w:t>电话</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Arial"/>
                <w:color w:val="auto"/>
                <w:sz w:val="24"/>
                <w:lang w:val="en-US" w:eastAsia="zh-CN"/>
              </w:rPr>
            </w:pPr>
            <w:r>
              <w:rPr>
                <w:rFonts w:hint="eastAsia" w:ascii="宋体" w:hAnsi="宋体" w:cs="Arial"/>
                <w:color w:val="auto"/>
                <w:sz w:val="24"/>
                <w:lang w:val="en-US" w:eastAsia="zh-CN"/>
              </w:rPr>
              <w:t>18565373593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Arial"/>
                <w:sz w:val="24"/>
              </w:rPr>
            </w:pPr>
            <w:r>
              <w:rPr>
                <w:rFonts w:hint="eastAsia" w:ascii="宋体" w:hAnsi="宋体" w:cs="Arial"/>
                <w:sz w:val="24"/>
              </w:rPr>
              <w:t>序号</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Arial"/>
                <w:sz w:val="24"/>
              </w:rPr>
            </w:pPr>
            <w:r>
              <w:rPr>
                <w:rFonts w:hint="eastAsia" w:ascii="宋体" w:hAnsi="宋体" w:cs="Arial"/>
                <w:sz w:val="24"/>
              </w:rPr>
              <w:t>章条</w:t>
            </w:r>
          </w:p>
          <w:p>
            <w:pPr>
              <w:jc w:val="center"/>
              <w:rPr>
                <w:rFonts w:ascii="宋体" w:hAnsi="宋体" w:cs="Arial"/>
                <w:sz w:val="24"/>
              </w:rPr>
            </w:pPr>
            <w:r>
              <w:rPr>
                <w:rFonts w:hint="eastAsia" w:ascii="宋体" w:hAnsi="宋体" w:cs="Arial"/>
                <w:sz w:val="24"/>
              </w:rPr>
              <w:t>编号</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 w:val="24"/>
              </w:rPr>
            </w:pPr>
            <w:r>
              <w:rPr>
                <w:rFonts w:hint="eastAsia" w:ascii="宋体" w:hAnsi="宋体" w:cs="Arial"/>
                <w:sz w:val="24"/>
              </w:rPr>
              <w:t>意见内容</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Arial"/>
                <w:color w:val="auto"/>
                <w:sz w:val="24"/>
              </w:rPr>
            </w:pPr>
            <w:r>
              <w:rPr>
                <w:rFonts w:hint="eastAsia" w:ascii="宋体" w:hAnsi="宋体" w:cs="Arial"/>
                <w:color w:val="auto"/>
                <w:sz w:val="24"/>
              </w:rPr>
              <w:t>提出单位</w:t>
            </w:r>
          </w:p>
          <w:p>
            <w:pPr>
              <w:jc w:val="center"/>
              <w:rPr>
                <w:rFonts w:ascii="宋体" w:hAnsi="宋体" w:cs="Arial"/>
                <w:sz w:val="24"/>
              </w:rPr>
            </w:pPr>
            <w:r>
              <w:rPr>
                <w:rFonts w:hint="eastAsia" w:ascii="宋体" w:hAnsi="宋体" w:cs="Arial"/>
                <w:color w:val="auto"/>
                <w:sz w:val="24"/>
              </w:rPr>
              <w:t>（写全称）/</w:t>
            </w:r>
            <w:r>
              <w:rPr>
                <w:rFonts w:hint="eastAsia" w:ascii="宋体" w:hAnsi="宋体" w:cs="Arial"/>
                <w:sz w:val="24"/>
              </w:rPr>
              <w:t>个人</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Arial"/>
                <w:sz w:val="24"/>
              </w:rPr>
            </w:pPr>
            <w:r>
              <w:rPr>
                <w:rFonts w:hint="eastAsia" w:ascii="宋体" w:hAnsi="宋体" w:cs="Arial"/>
                <w:sz w:val="24"/>
              </w:rPr>
              <w:t>处理</w:t>
            </w:r>
          </w:p>
          <w:p>
            <w:pPr>
              <w:jc w:val="center"/>
              <w:rPr>
                <w:rFonts w:ascii="宋体" w:hAnsi="宋体" w:cs="Arial"/>
                <w:sz w:val="24"/>
              </w:rPr>
            </w:pPr>
            <w:r>
              <w:rPr>
                <w:rFonts w:hint="eastAsia" w:ascii="宋体" w:hAnsi="宋体" w:cs="Arial"/>
                <w:sz w:val="24"/>
              </w:rPr>
              <w:t>意见</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 w:val="24"/>
              </w:rPr>
            </w:pPr>
            <w:r>
              <w:rPr>
                <w:rFonts w:hint="eastAsia" w:ascii="宋体"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“本文件规定了...核算方法”建议调整为“本文件规定了...核算方法的指示”。理由：范围的陈述使用“本文件规定了...的指示”的表述方式。</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部分采纳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规定了...的指示</w:t>
            </w:r>
            <w:r>
              <w:rPr>
                <w:rFonts w:hint="eastAsia" w:ascii="宋体" w:hAnsi="宋体" w:cs="宋体"/>
                <w:color w:val="000000"/>
                <w:sz w:val="24"/>
                <w:highlight w:val="none"/>
                <w:lang w:val="en-US" w:eastAsia="zh-CN"/>
              </w:rPr>
              <w:t>”的表述与文义</w:t>
            </w:r>
            <w:r>
              <w:rPr>
                <w:rFonts w:hint="default" w:ascii="宋体" w:hAnsi="宋体" w:eastAsia="宋体" w:cs="宋体"/>
                <w:color w:val="000000"/>
                <w:sz w:val="24"/>
                <w:highlight w:val="none"/>
                <w:lang w:val="en-US" w:eastAsia="zh-CN"/>
              </w:rPr>
              <w:t>不符，</w:t>
            </w:r>
            <w:r>
              <w:rPr>
                <w:rFonts w:hint="eastAsia" w:ascii="宋体" w:hAnsi="宋体" w:eastAsia="宋体" w:cs="宋体"/>
                <w:color w:val="000000"/>
                <w:sz w:val="24"/>
                <w:highlight w:val="none"/>
                <w:lang w:val="en-US" w:eastAsia="zh-CN"/>
              </w:rPr>
              <w:t>结合GB/T 1.1-20</w:t>
            </w:r>
            <w:r>
              <w:rPr>
                <w:rFonts w:hint="eastAsia" w:ascii="宋体" w:hAnsi="宋体" w:cs="宋体"/>
                <w:color w:val="000000"/>
                <w:sz w:val="24"/>
                <w:highlight w:val="none"/>
                <w:lang w:val="en-US" w:eastAsia="zh-CN"/>
              </w:rPr>
              <w:t>20《标准化工作导则  第1部分：标准化文件的结构和起草规则》</w:t>
            </w:r>
            <w:r>
              <w:rPr>
                <w:rFonts w:hint="eastAsia" w:ascii="宋体" w:hAnsi="宋体" w:eastAsia="宋体" w:cs="宋体"/>
                <w:color w:val="000000"/>
                <w:sz w:val="24"/>
                <w:highlight w:val="none"/>
                <w:lang w:val="en-US" w:eastAsia="zh-CN"/>
              </w:rPr>
              <w:t>的要求，修订为“本文件确立了海洋自然资源资产核算的基本原则、数据来源、核算流程，描述了海洋自然资源资产的核算方法”</w:t>
            </w:r>
            <w:r>
              <w:rPr>
                <w:rFonts w:hint="eastAsia" w:ascii="宋体" w:hAnsi="宋体" w:cs="宋体"/>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pStyle w:val="3"/>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在术语和定义部分增加通俗易懂的解释或示例，帮助读者更好地理解。例如，在“海洋初级自然基点”和“一级自然基点”的定义后，增加一个简单的示例说明其在实际核算中的应用场景。</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已修订</w:t>
            </w:r>
            <w:r>
              <w:rPr>
                <w:rFonts w:hint="eastAsia" w:ascii="宋体" w:hAnsi="宋体" w:cs="宋体"/>
                <w:color w:val="000000"/>
                <w:sz w:val="24"/>
                <w:highlight w:val="none"/>
                <w:lang w:val="en-US" w:eastAsia="zh-CN"/>
              </w:rPr>
              <w:t>，见3.9和3.10</w:t>
            </w:r>
            <w:r>
              <w:rPr>
                <w:rFonts w:hint="eastAsia" w:ascii="宋体" w:hAnsi="宋体" w:eastAsia="宋体" w:cs="宋体"/>
                <w:color w:val="000000"/>
                <w:sz w:val="24"/>
                <w:highlight w:val="none"/>
                <w:lang w:val="en-US" w:eastAsia="zh-CN"/>
              </w:rPr>
              <w:t>。“海洋初级自然基点”修改为“海洋自然基点”，增加注释</w:t>
            </w:r>
            <w:r>
              <w:rPr>
                <w:rFonts w:hint="eastAsia" w:ascii="宋体" w:hAnsi="宋体" w:cs="宋体"/>
                <w:color w:val="000000"/>
                <w:sz w:val="24"/>
                <w:highlight w:val="none"/>
                <w:lang w:val="en-US" w:eastAsia="zh-CN"/>
              </w:rPr>
              <w:t>进行</w:t>
            </w:r>
            <w:r>
              <w:rPr>
                <w:rFonts w:hint="eastAsia" w:ascii="宋体" w:hAnsi="宋体" w:eastAsia="宋体" w:cs="宋体"/>
                <w:color w:val="000000"/>
                <w:sz w:val="24"/>
                <w:highlight w:val="none"/>
                <w:lang w:val="en-US" w:eastAsia="zh-CN"/>
              </w:rPr>
              <w:t>解释说明；“一级自然基点”增加注释部分</w:t>
            </w:r>
            <w:r>
              <w:rPr>
                <w:rFonts w:hint="eastAsia" w:ascii="宋体" w:hAnsi="宋体" w:cs="宋体"/>
                <w:color w:val="000000"/>
                <w:sz w:val="24"/>
                <w:highlight w:val="none"/>
                <w:lang w:val="en-US" w:eastAsia="zh-CN"/>
              </w:rPr>
              <w:t>进行</w:t>
            </w:r>
            <w:r>
              <w:rPr>
                <w:rFonts w:hint="eastAsia" w:ascii="宋体" w:hAnsi="宋体" w:eastAsia="宋体" w:cs="宋体"/>
                <w:color w:val="000000"/>
                <w:sz w:val="24"/>
                <w:highlight w:val="none"/>
                <w:lang w:val="en-US" w:eastAsia="zh-CN"/>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color w:val="000000"/>
                <w:sz w:val="24"/>
                <w:lang w:val="en-US" w:eastAsia="zh-CN"/>
              </w:rPr>
            </w:pPr>
            <w:r>
              <w:rPr>
                <w:rFonts w:hint="eastAsia" w:ascii="宋体" w:hAnsi="宋体" w:eastAsia="宋体" w:cs="宋体"/>
                <w:kern w:val="2"/>
                <w:sz w:val="24"/>
                <w:szCs w:val="24"/>
                <w:lang w:val="en-US" w:eastAsia="zh-CN" w:bidi="ar-SA"/>
              </w:rPr>
              <w:t>3.3</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left"/>
              <w:textAlignment w:val="auto"/>
              <w:rPr>
                <w:rFonts w:hint="eastAsia" w:ascii="宋体" w:hAnsi="宋体" w:eastAsia="宋体" w:cs="宋体"/>
                <w:color w:val="000000"/>
                <w:sz w:val="24"/>
                <w:lang w:val="en-US" w:eastAsia="zh-CN"/>
              </w:rPr>
            </w:pPr>
            <w:r>
              <w:rPr>
                <w:rFonts w:hint="eastAsia" w:ascii="宋体" w:hAnsi="宋体" w:eastAsia="宋体" w:cs="宋体"/>
                <w:kern w:val="2"/>
                <w:sz w:val="24"/>
                <w:szCs w:val="24"/>
                <w:lang w:val="en-US" w:eastAsia="zh-CN" w:bidi="ar-SA"/>
              </w:rPr>
              <w:t>“客体范围</w:t>
            </w:r>
            <w:r>
              <w:rPr>
                <w:rFonts w:hint="eastAsia" w:ascii="宋体" w:hAnsi="宋体" w:eastAsia="宋体" w:cs="宋体"/>
                <w:b/>
                <w:bCs/>
                <w:kern w:val="2"/>
                <w:sz w:val="24"/>
                <w:szCs w:val="24"/>
                <w:lang w:val="en-US" w:eastAsia="zh-CN" w:bidi="ar-SA"/>
              </w:rPr>
              <w:t>可</w:t>
            </w:r>
            <w:r>
              <w:rPr>
                <w:rFonts w:hint="eastAsia" w:ascii="宋体" w:hAnsi="宋体" w:eastAsia="宋体" w:cs="宋体"/>
                <w:kern w:val="2"/>
                <w:sz w:val="24"/>
                <w:szCs w:val="24"/>
                <w:lang w:val="en-US" w:eastAsia="zh-CN" w:bidi="ar-SA"/>
              </w:rPr>
              <w:t>明确界定的海洋”建议调整为“客体范围</w:t>
            </w:r>
            <w:r>
              <w:rPr>
                <w:rFonts w:hint="eastAsia" w:ascii="宋体" w:hAnsi="宋体" w:eastAsia="宋体" w:cs="宋体"/>
                <w:b/>
                <w:bCs/>
                <w:kern w:val="2"/>
                <w:sz w:val="24"/>
                <w:szCs w:val="24"/>
                <w:lang w:val="en-US" w:eastAsia="zh-CN" w:bidi="ar-SA"/>
              </w:rPr>
              <w:t>能</w:t>
            </w:r>
            <w:r>
              <w:rPr>
                <w:rFonts w:hint="eastAsia" w:ascii="宋体" w:hAnsi="宋体" w:eastAsia="宋体" w:cs="宋体"/>
                <w:kern w:val="2"/>
                <w:sz w:val="24"/>
                <w:szCs w:val="24"/>
                <w:lang w:val="en-US" w:eastAsia="zh-CN" w:bidi="ar-SA"/>
              </w:rPr>
              <w:t>明确界定的海洋”。理由：表能力时，用“能”而非“可”。</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已修订，见3.3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sz w:val="24"/>
                <w:lang w:val="en-US" w:eastAsia="zh-CN"/>
              </w:rPr>
            </w:pPr>
            <w:r>
              <w:rPr>
                <w:rFonts w:hint="eastAsia" w:ascii="宋体" w:hAnsi="宋体" w:eastAsia="宋体" w:cs="宋体"/>
                <w:kern w:val="2"/>
                <w:sz w:val="24"/>
                <w:szCs w:val="24"/>
                <w:lang w:val="en-US" w:eastAsia="zh-CN" w:bidi="ar-SA"/>
              </w:rPr>
              <w:t>4.1</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“核算方法</w:t>
            </w:r>
            <w:r>
              <w:rPr>
                <w:rFonts w:hint="eastAsia" w:ascii="宋体" w:hAnsi="宋体" w:eastAsia="宋体" w:cs="宋体"/>
                <w:b/>
                <w:bCs/>
                <w:color w:val="000000"/>
                <w:sz w:val="24"/>
                <w:lang w:val="en-US" w:eastAsia="zh-CN"/>
              </w:rPr>
              <w:t>应</w:t>
            </w:r>
            <w:r>
              <w:rPr>
                <w:rFonts w:hint="eastAsia" w:ascii="宋体" w:hAnsi="宋体" w:eastAsia="宋体" w:cs="宋体"/>
                <w:color w:val="000000"/>
                <w:sz w:val="24"/>
                <w:lang w:val="en-US" w:eastAsia="zh-CN"/>
              </w:rPr>
              <w:t>建立在客观、准确、合理基础上”建议调整为“核算方法建立在客观、准确、合理基础上”。理由：原则不使用要求型条款。</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已修订，见4.1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“核算方法</w:t>
            </w:r>
            <w:r>
              <w:rPr>
                <w:rFonts w:hint="eastAsia" w:ascii="宋体" w:hAnsi="宋体" w:eastAsia="宋体" w:cs="宋体"/>
                <w:b/>
                <w:bCs/>
                <w:color w:val="000000"/>
                <w:sz w:val="24"/>
                <w:lang w:val="en-US" w:eastAsia="zh-CN"/>
              </w:rPr>
              <w:t>应</w:t>
            </w:r>
            <w:r>
              <w:rPr>
                <w:rFonts w:hint="eastAsia" w:ascii="宋体" w:hAnsi="宋体" w:eastAsia="宋体" w:cs="宋体"/>
                <w:color w:val="000000"/>
                <w:sz w:val="24"/>
                <w:lang w:val="en-US" w:eastAsia="zh-CN"/>
              </w:rPr>
              <w:t>利用已有数据”建议调整为“核算方法利用已有数据”。理由：原则不使用要求型条款。</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已修订，见4.2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“核算方法在空间上应实现自然资源之间可比；在时间上，</w:t>
            </w:r>
            <w:r>
              <w:rPr>
                <w:rFonts w:hint="eastAsia" w:ascii="宋体" w:hAnsi="宋体" w:eastAsia="宋体" w:cs="宋体"/>
                <w:b/>
                <w:bCs/>
                <w:color w:val="000000"/>
                <w:sz w:val="24"/>
                <w:lang w:val="en-US" w:eastAsia="zh-CN"/>
              </w:rPr>
              <w:t>应</w:t>
            </w:r>
            <w:r>
              <w:rPr>
                <w:rFonts w:hint="eastAsia" w:ascii="宋体" w:hAnsi="宋体" w:eastAsia="宋体" w:cs="宋体"/>
                <w:color w:val="000000"/>
                <w:sz w:val="24"/>
                <w:lang w:val="en-US" w:eastAsia="zh-CN"/>
              </w:rPr>
              <w:t>能反映自然资源长期变化”建议调整为“核算方法在空间上实现自然资源之间可比；在时间上，能反映自然资源长期变化”。理由：原则不使用要求型条款。</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已修订，见4.3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“海洋自然资源资产核算工作</w:t>
            </w:r>
            <w:r>
              <w:rPr>
                <w:rFonts w:hint="eastAsia" w:ascii="宋体" w:hAnsi="宋体" w:eastAsia="宋体" w:cs="宋体"/>
                <w:b/>
                <w:bCs/>
                <w:color w:val="000000"/>
                <w:sz w:val="24"/>
                <w:lang w:val="en-US" w:eastAsia="zh-CN"/>
              </w:rPr>
              <w:t>应</w:t>
            </w:r>
            <w:r>
              <w:rPr>
                <w:rFonts w:hint="eastAsia" w:ascii="宋体" w:hAnsi="宋体" w:eastAsia="宋体" w:cs="宋体"/>
                <w:color w:val="000000"/>
                <w:sz w:val="24"/>
                <w:lang w:val="en-US" w:eastAsia="zh-CN"/>
              </w:rPr>
              <w:t>与同时期自然资源”建议调整为“海洋自然资源资产核算工作与同时期自然资源”。理由：原则不使用要求型条款。</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已修订，见4.4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4.5</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“自然资源资产核算过程中</w:t>
            </w:r>
            <w:r>
              <w:rPr>
                <w:rFonts w:hint="eastAsia" w:ascii="宋体" w:hAnsi="宋体" w:eastAsia="宋体" w:cs="宋体"/>
                <w:b/>
                <w:bCs/>
                <w:color w:val="000000"/>
                <w:sz w:val="24"/>
                <w:highlight w:val="none"/>
                <w:lang w:val="en-US" w:eastAsia="zh-CN"/>
              </w:rPr>
              <w:t>应</w:t>
            </w:r>
            <w:r>
              <w:rPr>
                <w:rFonts w:hint="eastAsia" w:ascii="宋体" w:hAnsi="宋体" w:eastAsia="宋体" w:cs="宋体"/>
                <w:color w:val="000000"/>
                <w:sz w:val="24"/>
                <w:highlight w:val="none"/>
                <w:lang w:val="en-US" w:eastAsia="zh-CN"/>
              </w:rPr>
              <w:t>首先清晰界定实物量范围，开展实物量核算；价值量核算应以准确的实物量为基础”建议调整为“自然资源资产核算过程中</w:t>
            </w:r>
            <w:r>
              <w:rPr>
                <w:rFonts w:hint="eastAsia" w:ascii="宋体" w:hAnsi="宋体" w:eastAsia="宋体" w:cs="宋体"/>
                <w:b/>
                <w:bCs/>
                <w:color w:val="000000"/>
                <w:sz w:val="24"/>
                <w:highlight w:val="none"/>
                <w:lang w:val="en-US" w:eastAsia="zh-CN"/>
              </w:rPr>
              <w:t>宜</w:t>
            </w:r>
            <w:r>
              <w:rPr>
                <w:rFonts w:hint="eastAsia" w:ascii="宋体" w:hAnsi="宋体" w:eastAsia="宋体" w:cs="宋体"/>
                <w:color w:val="000000"/>
                <w:sz w:val="24"/>
                <w:highlight w:val="none"/>
                <w:lang w:val="en-US" w:eastAsia="zh-CN"/>
              </w:rPr>
              <w:t>首先清晰界定实物量范围，开展实物量核算；价值量核算以准确的实物量为基础”。理由：原则不使用要求型条款。</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部分采纳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已修订，见4.5。重新整合表述改为“自然资源资产核算过程中首先清晰界定实物量范围，开展实物量核算；价值量核算以准确的实物量为</w:t>
            </w:r>
            <w:r>
              <w:rPr>
                <w:rFonts w:hint="eastAsia" w:ascii="宋体" w:hAnsi="宋体" w:cs="宋体"/>
                <w:color w:val="000000"/>
                <w:sz w:val="24"/>
                <w:highlight w:val="none"/>
                <w:lang w:val="en-US" w:eastAsia="zh-CN"/>
              </w:rPr>
              <w:t>基</w:t>
            </w:r>
            <w:r>
              <w:rPr>
                <w:rFonts w:hint="eastAsia" w:ascii="宋体" w:hAnsi="宋体" w:eastAsia="宋体" w:cs="宋体"/>
                <w:color w:val="000000"/>
                <w:sz w:val="24"/>
                <w:highlight w:val="none"/>
                <w:lang w:val="en-US" w:eastAsia="zh-CN"/>
              </w:rPr>
              <w:t>础...”</w:t>
            </w:r>
            <w:r>
              <w:rPr>
                <w:rFonts w:hint="eastAsia" w:ascii="宋体" w:hAnsi="宋体" w:cs="宋体"/>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4.6</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w:t>
            </w:r>
            <w:r>
              <w:rPr>
                <w:rFonts w:hint="eastAsia" w:ascii="宋体" w:hAnsi="宋体" w:eastAsia="宋体" w:cs="宋体"/>
                <w:b/>
                <w:bCs/>
                <w:color w:val="000000"/>
                <w:sz w:val="24"/>
                <w:lang w:val="en-US" w:eastAsia="zh-CN"/>
              </w:rPr>
              <w:t>应</w:t>
            </w:r>
            <w:r>
              <w:rPr>
                <w:rFonts w:hint="eastAsia" w:ascii="宋体" w:hAnsi="宋体" w:eastAsia="宋体" w:cs="宋体"/>
                <w:color w:val="000000"/>
                <w:sz w:val="24"/>
                <w:lang w:val="en-US" w:eastAsia="zh-CN"/>
              </w:rPr>
              <w:t>优先以具有共识性、在现阶段”建议调整为“优先以具有共识性、在现阶段”。理由：原则不使用要求型条款。</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已修订，见4.6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4.6</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left"/>
              <w:textAlignment w:val="auto"/>
              <w:rPr>
                <w:rFonts w:hint="eastAsia" w:ascii="宋体" w:hAnsi="宋体" w:eastAsia="宋体" w:cs="宋体"/>
                <w:color w:val="000000"/>
                <w:sz w:val="24"/>
                <w:lang w:val="en-US" w:eastAsia="zh-CN"/>
              </w:rPr>
            </w:pPr>
            <w:r>
              <w:rPr>
                <w:rFonts w:hint="eastAsia" w:ascii="宋体" w:hAnsi="宋体" w:eastAsia="宋体" w:cs="宋体"/>
                <w:kern w:val="2"/>
                <w:sz w:val="24"/>
                <w:szCs w:val="24"/>
                <w:lang w:val="en-US" w:eastAsia="zh-CN" w:bidi="ar-SA"/>
              </w:rPr>
              <w:t>“在现阶段</w:t>
            </w:r>
            <w:r>
              <w:rPr>
                <w:rFonts w:hint="eastAsia" w:ascii="宋体" w:hAnsi="宋体" w:eastAsia="宋体" w:cs="宋体"/>
                <w:b/>
                <w:bCs/>
                <w:kern w:val="2"/>
                <w:sz w:val="24"/>
                <w:szCs w:val="24"/>
                <w:lang w:val="en-US" w:eastAsia="zh-CN" w:bidi="ar-SA"/>
              </w:rPr>
              <w:t>可</w:t>
            </w:r>
            <w:r>
              <w:rPr>
                <w:rFonts w:hint="eastAsia" w:ascii="宋体" w:hAnsi="宋体" w:eastAsia="宋体" w:cs="宋体"/>
                <w:kern w:val="2"/>
                <w:sz w:val="24"/>
                <w:szCs w:val="24"/>
                <w:lang w:val="en-US" w:eastAsia="zh-CN" w:bidi="ar-SA"/>
              </w:rPr>
              <w:t>广泛实现的交换价值”建议调整为“在现阶段</w:t>
            </w:r>
            <w:r>
              <w:rPr>
                <w:rFonts w:hint="eastAsia" w:ascii="宋体" w:hAnsi="宋体" w:eastAsia="宋体" w:cs="宋体"/>
                <w:b/>
                <w:bCs/>
                <w:kern w:val="2"/>
                <w:sz w:val="24"/>
                <w:szCs w:val="24"/>
                <w:lang w:val="en-US" w:eastAsia="zh-CN" w:bidi="ar-SA"/>
              </w:rPr>
              <w:t>能</w:t>
            </w:r>
            <w:r>
              <w:rPr>
                <w:rFonts w:hint="eastAsia" w:ascii="宋体" w:hAnsi="宋体" w:eastAsia="宋体" w:cs="宋体"/>
                <w:kern w:val="2"/>
                <w:sz w:val="24"/>
                <w:szCs w:val="24"/>
                <w:lang w:val="en-US" w:eastAsia="zh-CN" w:bidi="ar-SA"/>
              </w:rPr>
              <w:t>广泛实现的交换价值”。理由：表能力时，用“能”而非“可”。</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已修订，见4.6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4.7</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w:t>
            </w:r>
            <w:r>
              <w:rPr>
                <w:rFonts w:hint="eastAsia" w:ascii="宋体" w:hAnsi="宋体" w:eastAsia="宋体" w:cs="宋体"/>
                <w:b/>
                <w:bCs/>
                <w:color w:val="000000"/>
                <w:sz w:val="24"/>
                <w:lang w:val="en-US" w:eastAsia="zh-CN"/>
              </w:rPr>
              <w:t>应</w:t>
            </w:r>
            <w:r>
              <w:rPr>
                <w:rFonts w:hint="eastAsia" w:ascii="宋体" w:hAnsi="宋体" w:eastAsia="宋体" w:cs="宋体"/>
                <w:color w:val="000000"/>
                <w:sz w:val="24"/>
                <w:lang w:val="en-US" w:eastAsia="zh-CN"/>
              </w:rPr>
              <w:t>清晰、明确地界定自然资源资产”建议调整为“清晰、明确地界定自然资源资产”。理由：原则不使用要求型条款。</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已修订，见4.7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4.8</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w:t>
            </w:r>
            <w:r>
              <w:rPr>
                <w:rFonts w:hint="eastAsia" w:ascii="宋体" w:hAnsi="宋体" w:eastAsia="宋体" w:cs="宋体"/>
                <w:b/>
                <w:bCs/>
                <w:color w:val="000000"/>
                <w:sz w:val="24"/>
                <w:highlight w:val="none"/>
                <w:lang w:val="en-US" w:eastAsia="zh-CN"/>
              </w:rPr>
              <w:t>应</w:t>
            </w:r>
            <w:r>
              <w:rPr>
                <w:rFonts w:hint="eastAsia" w:ascii="宋体" w:hAnsi="宋体" w:eastAsia="宋体" w:cs="宋体"/>
                <w:color w:val="000000"/>
                <w:sz w:val="24"/>
                <w:highlight w:val="none"/>
                <w:lang w:val="en-US" w:eastAsia="zh-CN"/>
              </w:rPr>
              <w:t>协调好...</w:t>
            </w:r>
            <w:r>
              <w:rPr>
                <w:rFonts w:hint="eastAsia" w:ascii="宋体" w:hAnsi="宋体" w:eastAsia="宋体" w:cs="宋体"/>
                <w:b/>
                <w:bCs/>
                <w:color w:val="000000"/>
                <w:sz w:val="24"/>
                <w:highlight w:val="none"/>
                <w:lang w:val="en-US" w:eastAsia="zh-CN"/>
              </w:rPr>
              <w:t>应</w:t>
            </w:r>
            <w:r>
              <w:rPr>
                <w:rFonts w:hint="eastAsia" w:ascii="宋体" w:hAnsi="宋体" w:eastAsia="宋体" w:cs="宋体"/>
                <w:color w:val="000000"/>
                <w:sz w:val="24"/>
                <w:highlight w:val="none"/>
                <w:lang w:val="en-US" w:eastAsia="zh-CN"/>
              </w:rPr>
              <w:t>重点核算”建议调整为“</w:t>
            </w:r>
            <w:r>
              <w:rPr>
                <w:rFonts w:hint="eastAsia" w:ascii="宋体" w:hAnsi="宋体" w:eastAsia="宋体" w:cs="宋体"/>
                <w:b/>
                <w:bCs/>
                <w:color w:val="000000"/>
                <w:sz w:val="24"/>
                <w:highlight w:val="none"/>
                <w:lang w:val="en-US" w:eastAsia="zh-CN"/>
              </w:rPr>
              <w:t>宜</w:t>
            </w:r>
            <w:r>
              <w:rPr>
                <w:rFonts w:hint="eastAsia" w:ascii="宋体" w:hAnsi="宋体" w:eastAsia="宋体" w:cs="宋体"/>
                <w:color w:val="000000"/>
                <w:sz w:val="24"/>
                <w:highlight w:val="none"/>
                <w:lang w:val="en-US" w:eastAsia="zh-CN"/>
              </w:rPr>
              <w:t>协调好...</w:t>
            </w:r>
            <w:r>
              <w:rPr>
                <w:rFonts w:hint="eastAsia" w:ascii="宋体" w:hAnsi="宋体" w:eastAsia="宋体" w:cs="宋体"/>
                <w:b/>
                <w:bCs/>
                <w:color w:val="000000"/>
                <w:sz w:val="24"/>
                <w:highlight w:val="none"/>
                <w:lang w:val="en-US" w:eastAsia="zh-CN"/>
              </w:rPr>
              <w:t>宜</w:t>
            </w:r>
            <w:r>
              <w:rPr>
                <w:rFonts w:hint="eastAsia" w:ascii="宋体" w:hAnsi="宋体" w:eastAsia="宋体" w:cs="宋体"/>
                <w:color w:val="000000"/>
                <w:sz w:val="24"/>
                <w:highlight w:val="none"/>
                <w:lang w:val="en-US" w:eastAsia="zh-CN"/>
              </w:rPr>
              <w:t>重点核算”。理由：原则不使用要求型条款。</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部分采纳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已修订，见4.8。重新整合表述改为“</w:t>
            </w:r>
            <w:r>
              <w:rPr>
                <w:rFonts w:hint="eastAsia" w:hAnsi="Times New Roman" w:cs="Times New Roman"/>
                <w:color w:val="auto"/>
                <w:sz w:val="24"/>
                <w:szCs w:val="22"/>
                <w:highlight w:val="none"/>
              </w:rPr>
              <w:t>协调好各类型资源间核算对象的不重不漏</w:t>
            </w:r>
            <w:r>
              <w:rPr>
                <w:rFonts w:hint="eastAsia" w:cs="Times New Roman"/>
                <w:color w:val="auto"/>
                <w:sz w:val="24"/>
                <w:szCs w:val="22"/>
                <w:highlight w:val="none"/>
                <w:lang w:val="en-US" w:eastAsia="zh-CN"/>
              </w:rPr>
              <w:t>，并</w:t>
            </w:r>
            <w:r>
              <w:rPr>
                <w:rFonts w:hint="eastAsia" w:hAnsi="Times New Roman" w:cs="Times New Roman"/>
                <w:color w:val="auto"/>
                <w:sz w:val="24"/>
                <w:szCs w:val="22"/>
                <w:highlight w:val="none"/>
              </w:rPr>
              <w:t>符合国家自然资源保护与利用政策导向</w:t>
            </w:r>
            <w:r>
              <w:rPr>
                <w:rFonts w:hint="eastAsia" w:ascii="宋体" w:hAnsi="宋体" w:eastAsia="宋体" w:cs="宋体"/>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kern w:val="2"/>
                <w:sz w:val="24"/>
                <w:szCs w:val="24"/>
                <w:highlight w:val="none"/>
                <w:lang w:val="en-US" w:eastAsia="zh-CN" w:bidi="ar-SA"/>
              </w:rPr>
              <w:t>5</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在第5章“数据来源”中，增加对数据质量控制的说明，确保数据的准确性和及时性。例如，可以增加一条说明：“数据来源应定期更新，确保数据的时效性；对于海上调查和遥感监测数据应进行数据质量评估，确保数据的准确性。”理由：数据来源部分仅列出了数据来源的类别，但未说明如何确保数据的准确性和及时性。</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已修订，见</w:t>
            </w:r>
            <w:r>
              <w:rPr>
                <w:rFonts w:hint="eastAsia" w:ascii="宋体" w:hAnsi="宋体" w:cs="宋体"/>
                <w:color w:val="000000"/>
                <w:sz w:val="24"/>
                <w:highlight w:val="none"/>
                <w:lang w:val="en-US" w:eastAsia="zh-CN"/>
              </w:rPr>
              <w:t>第</w:t>
            </w:r>
            <w:r>
              <w:rPr>
                <w:rFonts w:hint="eastAsia" w:ascii="宋体" w:hAnsi="宋体" w:eastAsia="宋体" w:cs="宋体"/>
                <w:color w:val="000000"/>
                <w:sz w:val="24"/>
                <w:highlight w:val="none"/>
                <w:lang w:val="en-US" w:eastAsia="zh-CN"/>
              </w:rPr>
              <w:t xml:space="preserve">5 </w:t>
            </w:r>
            <w:r>
              <w:rPr>
                <w:rFonts w:hint="eastAsia" w:ascii="宋体" w:hAnsi="宋体" w:cs="宋体"/>
                <w:color w:val="000000"/>
                <w:sz w:val="24"/>
                <w:highlight w:val="none"/>
                <w:lang w:val="en-US" w:eastAsia="zh-CN"/>
              </w:rPr>
              <w:t>章</w:t>
            </w:r>
            <w:r>
              <w:rPr>
                <w:rFonts w:hint="eastAsia" w:ascii="宋体" w:hAnsi="宋体" w:eastAsia="宋体" w:cs="宋体"/>
                <w:color w:val="000000"/>
                <w:sz w:val="24"/>
                <w:highlight w:val="none"/>
                <w:lang w:val="en-US" w:eastAsia="zh-CN"/>
              </w:rPr>
              <w:t>。</w:t>
            </w:r>
            <w:r>
              <w:rPr>
                <w:rFonts w:hint="eastAsia" w:ascii="宋体" w:hAnsi="宋体" w:cs="宋体"/>
                <w:color w:val="000000"/>
                <w:sz w:val="24"/>
                <w:highlight w:val="none"/>
                <w:lang w:val="en-US" w:eastAsia="zh-CN"/>
              </w:rPr>
              <w:t>因文中已列明“以上数据更新时间频次以年度更新为准，对于海上调查及遥感监测等数据可视获取情况取近3年期平均”，说明了数据的更新频率，故整合相关表述，最终</w:t>
            </w:r>
            <w:r>
              <w:rPr>
                <w:rFonts w:hint="eastAsia" w:ascii="宋体" w:hAnsi="宋体" w:eastAsia="宋体" w:cs="宋体"/>
                <w:color w:val="000000"/>
                <w:sz w:val="24"/>
                <w:highlight w:val="none"/>
                <w:lang w:val="en-US" w:eastAsia="zh-CN"/>
              </w:rPr>
              <w:t>增加说明：“</w:t>
            </w:r>
            <w:r>
              <w:rPr>
                <w:rFonts w:hint="eastAsia" w:ascii="宋体" w:hAnsi="宋体" w:cs="宋体"/>
                <w:color w:val="000000"/>
                <w:sz w:val="24"/>
                <w:highlight w:val="none"/>
                <w:lang w:val="en-US" w:eastAsia="zh-CN"/>
              </w:rPr>
              <w:t>同时</w:t>
            </w:r>
            <w:r>
              <w:rPr>
                <w:rFonts w:hint="eastAsia" w:ascii="宋体" w:hAnsi="宋体" w:eastAsia="宋体" w:cs="宋体"/>
                <w:color w:val="000000"/>
                <w:sz w:val="24"/>
                <w:highlight w:val="none"/>
                <w:lang w:val="en-US" w:eastAsia="zh-CN"/>
              </w:rPr>
              <w:t>应进行数据质量评估，确保数据的准确性。”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宋体" w:hAnsi="宋体" w:eastAsia="宋体" w:cs="宋体"/>
                <w:color w:val="000000"/>
                <w:sz w:val="24"/>
                <w:highlight w:val="none"/>
                <w:lang w:val="en-US" w:eastAsia="zh-CN"/>
              </w:rPr>
            </w:pPr>
            <w:r>
              <w:rPr>
                <w:rFonts w:hint="eastAsia" w:ascii="宋体" w:hAnsi="宋体" w:eastAsia="宋体" w:cs="宋体"/>
                <w:color w:val="000000"/>
                <w:kern w:val="2"/>
                <w:sz w:val="24"/>
                <w:highlight w:val="none"/>
                <w:lang w:val="en-US" w:eastAsia="zh-CN" w:bidi="ar-SA"/>
              </w:rPr>
              <w:t>“海洋自然资源资产价值核算流程”中增加一个流程图，直观展示从数据收集到核算结果输出的全过程。例如，可以绘制一个包含“数据收集→实物量核算→价值量核算→结果输出”的流程图，并在每个步骤中标注关键点。理由：核算流程部分仅以文字描述，缺乏直观的流程图或图表可能导致读者对核算步骤的理解不够清晰。</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已修订，见</w:t>
            </w:r>
            <w:r>
              <w:rPr>
                <w:rFonts w:hint="eastAsia" w:ascii="宋体" w:hAnsi="宋体" w:cs="宋体"/>
                <w:color w:val="000000"/>
                <w:sz w:val="24"/>
                <w:highlight w:val="none"/>
                <w:lang w:val="en-US" w:eastAsia="zh-CN"/>
              </w:rPr>
              <w:t>第</w:t>
            </w:r>
            <w:r>
              <w:rPr>
                <w:rFonts w:hint="eastAsia" w:ascii="宋体" w:hAnsi="宋体" w:eastAsia="宋体" w:cs="宋体"/>
                <w:color w:val="000000"/>
                <w:sz w:val="24"/>
                <w:highlight w:val="none"/>
                <w:lang w:val="en-US" w:eastAsia="zh-CN"/>
              </w:rPr>
              <w:t xml:space="preserve">6 </w:t>
            </w:r>
            <w:r>
              <w:rPr>
                <w:rFonts w:hint="eastAsia" w:ascii="宋体" w:hAnsi="宋体" w:cs="宋体"/>
                <w:color w:val="000000"/>
                <w:sz w:val="24"/>
                <w:highlight w:val="none"/>
                <w:lang w:val="en-US" w:eastAsia="zh-CN"/>
              </w:rPr>
              <w:t>章</w:t>
            </w:r>
            <w:r>
              <w:rPr>
                <w:rFonts w:hint="eastAsia" w:ascii="宋体" w:hAnsi="宋体" w:eastAsia="宋体" w:cs="宋体"/>
                <w:color w:val="000000"/>
                <w:sz w:val="24"/>
                <w:highlight w:val="none"/>
                <w:lang w:val="en-US" w:eastAsia="zh-CN"/>
              </w:rPr>
              <w:t>图1。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宋体" w:hAnsi="宋体" w:eastAsia="宋体" w:cs="宋体"/>
                <w:sz w:val="24"/>
                <w:szCs w:val="22"/>
                <w:highlight w:val="none"/>
              </w:rPr>
            </w:pPr>
            <w:r>
              <w:rPr>
                <w:rFonts w:hint="eastAsia" w:ascii="宋体" w:hAnsi="宋体" w:eastAsia="宋体" w:cs="宋体"/>
                <w:sz w:val="24"/>
                <w:szCs w:val="22"/>
                <w:highlight w:val="none"/>
              </w:rPr>
              <w:t>在7.3 节“海洋自然资源资产经济价值核算”和7.4 节“海洋自然资源资产生态价值核算”中，增加实际案例说明。例如，在7.3.2 节“海域资源资产经济价值核算”中，增加一个深圳市某海域的经济价值核算案例，展示如何应用公式(1)和公式(2)进行计算。在 7.4.2 节“海洋自然资源资产生态价值核算”中，增加一个深圳市某海域的生态价值核算案例，展示如何应用“自然基点”方法进行计算。</w:t>
            </w:r>
          </w:p>
          <w:p>
            <w:pPr>
              <w:pStyle w:val="3"/>
              <w:rPr>
                <w:rFonts w:hint="eastAsia" w:ascii="宋体" w:hAnsi="宋体" w:eastAsia="宋体" w:cs="宋体"/>
                <w:color w:val="000000"/>
                <w:kern w:val="2"/>
                <w:sz w:val="24"/>
                <w:highlight w:val="none"/>
                <w:lang w:val="en-US" w:eastAsia="zh-CN" w:bidi="ar-SA"/>
              </w:rPr>
            </w:pPr>
            <w:r>
              <w:rPr>
                <w:rFonts w:hint="eastAsia" w:ascii="宋体" w:hAnsi="宋体" w:eastAsia="宋体" w:cs="宋体"/>
                <w:sz w:val="24"/>
                <w:szCs w:val="22"/>
                <w:highlight w:val="none"/>
              </w:rPr>
              <w:t>理由</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核算方法部分涉及较多公式和计算步骤，可能对部分读者造成理解困难，且缺乏实际案例说明。</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在附录B增加实际案例</w:t>
            </w:r>
            <w:r>
              <w:rPr>
                <w:rFonts w:hint="eastAsia" w:ascii="宋体" w:hAnsi="宋体" w:cs="宋体"/>
                <w:color w:val="000000"/>
                <w:sz w:val="24"/>
                <w:highlight w:val="none"/>
                <w:lang w:val="en-US" w:eastAsia="zh-CN"/>
              </w:rPr>
              <w:t>进行计算</w:t>
            </w:r>
            <w:r>
              <w:rPr>
                <w:rFonts w:hint="eastAsia" w:ascii="宋体" w:hAnsi="宋体" w:eastAsia="宋体" w:cs="宋体"/>
                <w:color w:val="000000"/>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left"/>
              <w:textAlignment w:val="auto"/>
              <w:rPr>
                <w:rFonts w:hint="eastAsia" w:ascii="宋体" w:hAnsi="宋体" w:eastAsia="宋体" w:cs="宋体"/>
                <w:color w:val="000000"/>
                <w:sz w:val="24"/>
                <w:lang w:val="en-US" w:eastAsia="zh-CN"/>
              </w:rPr>
            </w:pPr>
            <w:r>
              <w:rPr>
                <w:rFonts w:hint="eastAsia" w:ascii="宋体" w:hAnsi="宋体" w:eastAsia="宋体" w:cs="宋体"/>
                <w:kern w:val="2"/>
                <w:sz w:val="24"/>
                <w:szCs w:val="24"/>
                <w:lang w:val="en-US" w:eastAsia="zh-CN" w:bidi="ar-SA"/>
              </w:rPr>
              <w:t>“核算单元可调整为每公顷”建议调整为“核算单元调整为每公顷”。理由：涉及规范标准的方法表述，使用指示或陈述型条款。</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已修订，见7.2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7.3.2.2.1</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eastAsia="宋体" w:cs="宋体"/>
                <w:highlight w:val="none"/>
              </w:rPr>
              <w:drawing>
                <wp:inline distT="0" distB="0" distL="114300" distR="114300">
                  <wp:extent cx="1186815" cy="277495"/>
                  <wp:effectExtent l="0" t="0" r="635" b="190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5"/>
                          <a:stretch>
                            <a:fillRect/>
                          </a:stretch>
                        </pic:blipFill>
                        <pic:spPr>
                          <a:xfrm>
                            <a:off x="0" y="0"/>
                            <a:ext cx="1186815" cy="277495"/>
                          </a:xfrm>
                          <a:prstGeom prst="rect">
                            <a:avLst/>
                          </a:prstGeom>
                          <a:noFill/>
                          <a:ln>
                            <a:noFill/>
                          </a:ln>
                        </pic:spPr>
                      </pic:pic>
                    </a:graphicData>
                  </a:graphic>
                </wp:inline>
              </w:drawing>
            </w:r>
            <w:r>
              <w:rPr>
                <w:rFonts w:hint="eastAsia" w:ascii="宋体" w:hAnsi="宋体" w:eastAsia="宋体" w:cs="宋体"/>
                <w:kern w:val="2"/>
                <w:sz w:val="24"/>
                <w:szCs w:val="24"/>
                <w:highlight w:val="none"/>
                <w:lang w:val="en-US" w:eastAsia="zh-CN" w:bidi="ar-SA"/>
              </w:rPr>
              <w:t>”建议将变量下标的文字改由量的符号表示。理由：公式中不使用量的名称。</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公式中“海域”下标统一修改为“</w:t>
            </w:r>
            <w:r>
              <w:rPr>
                <w:rFonts w:hint="eastAsia" w:ascii="宋体" w:hAnsi="宋体" w:eastAsia="宋体" w:cs="宋体"/>
                <w:i/>
                <w:iCs/>
                <w:color w:val="000000"/>
                <w:sz w:val="24"/>
                <w:highlight w:val="none"/>
                <w:lang w:val="en-US" w:eastAsia="zh-CN"/>
              </w:rPr>
              <w:t>U</w:t>
            </w:r>
            <w:r>
              <w:rPr>
                <w:rFonts w:hint="eastAsia" w:ascii="宋体" w:hAnsi="宋体" w:eastAsia="宋体" w:cs="宋体"/>
                <w:i/>
                <w:iCs/>
                <w:color w:val="000000"/>
                <w:sz w:val="24"/>
                <w:highlight w:val="none"/>
                <w:vertAlign w:val="subscript"/>
                <w:lang w:val="en-US" w:eastAsia="zh-CN"/>
              </w:rPr>
              <w:t>S</w:t>
            </w:r>
            <w:r>
              <w:rPr>
                <w:rFonts w:hint="eastAsia" w:ascii="宋体" w:hAnsi="宋体" w:eastAsia="宋体" w:cs="宋体"/>
                <w:color w:val="000000"/>
                <w:sz w:val="24"/>
                <w:highlight w:val="none"/>
                <w:lang w:val="en-US" w:eastAsia="zh-CN"/>
              </w:rPr>
              <w:t>”；“无居民海岛”下标统一修改为“</w:t>
            </w:r>
            <w:r>
              <w:rPr>
                <w:rFonts w:hint="eastAsia" w:ascii="宋体" w:hAnsi="宋体" w:eastAsia="宋体" w:cs="宋体"/>
                <w:i/>
                <w:iCs/>
                <w:color w:val="000000"/>
                <w:sz w:val="24"/>
                <w:highlight w:val="none"/>
                <w:lang w:val="en-US" w:eastAsia="zh-CN"/>
              </w:rPr>
              <w:t>U</w:t>
            </w:r>
            <w:r>
              <w:rPr>
                <w:rFonts w:hint="eastAsia" w:ascii="宋体" w:hAnsi="宋体" w:eastAsia="宋体" w:cs="宋体"/>
                <w:i/>
                <w:iCs/>
                <w:color w:val="000000"/>
                <w:sz w:val="24"/>
                <w:highlight w:val="none"/>
                <w:vertAlign w:val="subscript"/>
                <w:lang w:val="en-US" w:eastAsia="zh-CN"/>
              </w:rPr>
              <w:t>I</w:t>
            </w:r>
            <w:r>
              <w:rPr>
                <w:rFonts w:hint="eastAsia" w:ascii="宋体" w:hAnsi="宋体" w:eastAsia="宋体" w:cs="宋体"/>
                <w:color w:val="000000"/>
                <w:sz w:val="24"/>
                <w:highlight w:val="none"/>
                <w:lang w:val="en-US" w:eastAsia="zh-CN"/>
              </w:rPr>
              <w:t>”</w:t>
            </w:r>
            <w:r>
              <w:rPr>
                <w:rFonts w:hint="eastAsia" w:ascii="宋体" w:hAnsi="宋体" w:cs="宋体"/>
                <w:color w:val="000000"/>
                <w:sz w:val="24"/>
                <w:highlight w:val="none"/>
                <w:lang w:val="en-US" w:eastAsia="zh-CN"/>
              </w:rPr>
              <w:t>，并进行了全文修订</w:t>
            </w:r>
            <w:r>
              <w:rPr>
                <w:rFonts w:hint="eastAsia" w:ascii="宋体" w:hAnsi="宋体" w:eastAsia="宋体" w:cs="宋体"/>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7.4.1</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“选取可以反映海洋生态服务能力”建议调整为“选取能够反映海洋生态服务能力”。理由：表能力时，用“能”而非“可”。</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已修订，见7.4.1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7.4.2.7.2</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“具体计算方法可参考GB/T 28058”“海水质量指标、沉积物质量指标、初级生产力指标、可选取替代价格法进行核算；渔业资源指标、生物多样性指标可选取市场价格法进行核算”建议调整为“具体计算方法参考GB/T 28058”“海水质量指标、沉积物质量指标、初级生产力指标，选取替代价格法进行核算；渔业资源指标、生物多样性指标选取市场价格法进行核算”。理由：表能力时，用“能”而非“可”。</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已修订，见7.4.2.7.2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附录A和附录B</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在附录 A.1“国家海域使用金征收标准”和附录A.2“国家无居民海岛使用金征收标准”中，增加对表格数据的解释说明，帮助读者理解如何使用这些数据进行核算。在附录B</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海洋自然资源资产生态价值核算示例”中，增加对每个示例的详细解释说明如何从数据收集到最终核算结果的推导过程。理由：附录部分提供了大量的表格和示例，但部分表格内容较为复杂，且缺乏对表格数据的解释说明。</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sz w:val="24"/>
                <w:szCs w:val="22"/>
                <w:highlight w:val="none"/>
                <w:lang w:val="en-US" w:eastAsia="zh-CN"/>
              </w:rPr>
            </w:pPr>
            <w:r>
              <w:rPr>
                <w:rFonts w:hint="eastAsia"/>
                <w:sz w:val="24"/>
                <w:szCs w:val="22"/>
                <w:highlight w:val="none"/>
                <w:lang w:val="en-US" w:eastAsia="zh-CN"/>
              </w:rPr>
              <w:t>公式（1）和公式（7）标注了国家海域使用金和国家无居民海岛使用金引用出处，因此不再增加解释说明。</w:t>
            </w:r>
          </w:p>
          <w:p>
            <w:pPr>
              <w:jc w:val="left"/>
              <w:rPr>
                <w:rFonts w:hint="default" w:ascii="宋体" w:hAnsi="宋体" w:eastAsia="宋体" w:cs="宋体"/>
                <w:color w:val="000000"/>
                <w:sz w:val="24"/>
                <w:highlight w:val="none"/>
                <w:lang w:val="en-US" w:eastAsia="zh-CN"/>
              </w:rPr>
            </w:pPr>
            <w:r>
              <w:rPr>
                <w:rFonts w:hint="eastAsia"/>
                <w:sz w:val="24"/>
                <w:szCs w:val="22"/>
                <w:highlight w:val="none"/>
                <w:lang w:val="en-US" w:eastAsia="zh-CN"/>
              </w:rPr>
              <w:t>附录B增加生态价值核算推导过程。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全文</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“经济价值”建议调整为“货币价值”。理由：</w:t>
            </w:r>
            <w:r>
              <w:rPr>
                <w:rFonts w:hint="eastAsia" w:ascii="宋体" w:hAnsi="宋体" w:eastAsia="宋体" w:cs="宋体"/>
                <w:b/>
                <w:bCs/>
                <w:kern w:val="2"/>
                <w:sz w:val="24"/>
                <w:szCs w:val="24"/>
                <w:highlight w:val="none"/>
                <w:lang w:val="en-US" w:eastAsia="zh-CN" w:bidi="ar-SA"/>
              </w:rPr>
              <w:t>经济</w:t>
            </w:r>
            <w:r>
              <w:rPr>
                <w:rFonts w:hint="eastAsia" w:ascii="宋体" w:hAnsi="宋体" w:eastAsia="宋体" w:cs="宋体"/>
                <w:kern w:val="2"/>
                <w:sz w:val="24"/>
                <w:szCs w:val="24"/>
                <w:highlight w:val="none"/>
                <w:lang w:val="en-US" w:eastAsia="zh-CN" w:bidi="ar-SA"/>
              </w:rPr>
              <w:t>（表现为“对历史、对人民高度负责”“推进人与自然和谐共生”“运用马克思主义政治经济学的方法论”，参见《习近平经济文选》）</w:t>
            </w:r>
            <w:r>
              <w:rPr>
                <w:rFonts w:hint="eastAsia" w:ascii="宋体" w:hAnsi="宋体" w:eastAsia="宋体" w:cs="宋体"/>
                <w:b/>
                <w:bCs/>
                <w:kern w:val="2"/>
                <w:sz w:val="24"/>
                <w:szCs w:val="24"/>
                <w:highlight w:val="none"/>
                <w:lang w:val="en-US" w:eastAsia="zh-CN" w:bidi="ar-SA"/>
              </w:rPr>
              <w:t>非economy</w:t>
            </w:r>
            <w:r>
              <w:rPr>
                <w:rFonts w:hint="eastAsia" w:ascii="宋体" w:hAnsi="宋体" w:eastAsia="宋体" w:cs="宋体"/>
                <w:kern w:val="2"/>
                <w:sz w:val="24"/>
                <w:szCs w:val="24"/>
                <w:highlight w:val="none"/>
                <w:lang w:val="en-US" w:eastAsia="zh-CN" w:bidi="ar-SA"/>
              </w:rPr>
              <w:t>（以所谓的“稀缺资源”获取“利润最大化”“收益最大化”“货币现值最大化”的行为），经济价值不应写作economic value。本文件（如3.4）所指“经济价值”其实是货币价值。</w:t>
            </w:r>
          </w:p>
          <w:p>
            <w:pPr>
              <w:keepNext w:val="0"/>
              <w:keepLines w:val="0"/>
              <w:pageBreakBefore w:val="0"/>
              <w:widowControl/>
              <w:suppressLineNumbers w:val="0"/>
              <w:kinsoku/>
              <w:wordWrap/>
              <w:overflowPunct/>
              <w:topLinePunct w:val="0"/>
              <w:bidi w:val="0"/>
              <w:adjustRightInd/>
              <w:snapToGrid/>
              <w:spacing w:line="0" w:lineRule="atLeas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经济价值与货币价值的区别，可体现为生态价值与货币价值的区别，文件4.8“生态价值与经济价值间存在权衡关系”实际上讲的是生态价值与货币价值间的权衡关系——</w:t>
            </w:r>
            <w:r>
              <w:rPr>
                <w:rFonts w:hint="eastAsia" w:ascii="宋体" w:hAnsi="宋体" w:eastAsia="宋体" w:cs="宋体"/>
                <w:b/>
                <w:bCs/>
                <w:kern w:val="2"/>
                <w:sz w:val="24"/>
                <w:szCs w:val="24"/>
                <w:highlight w:val="none"/>
                <w:lang w:val="en-US" w:eastAsia="zh-CN" w:bidi="ar-SA"/>
              </w:rPr>
              <w:t>经济发展（价值）与生态发展（价值）并不矛盾，不存在权衡关系</w:t>
            </w:r>
            <w:r>
              <w:rPr>
                <w:rFonts w:hint="eastAsia" w:ascii="宋体" w:hAnsi="宋体" w:eastAsia="宋体" w:cs="宋体"/>
                <w:kern w:val="2"/>
                <w:sz w:val="24"/>
                <w:szCs w:val="24"/>
                <w:highlight w:val="none"/>
                <w:lang w:val="en-US" w:eastAsia="zh-CN" w:bidi="ar-SA"/>
              </w:rPr>
              <w:t>。</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不</w:t>
            </w:r>
            <w:r>
              <w:rPr>
                <w:rFonts w:hint="eastAsia" w:ascii="宋体" w:hAnsi="宋体" w:eastAsia="宋体" w:cs="宋体"/>
                <w:color w:val="000000"/>
                <w:sz w:val="24"/>
                <w:highlight w:val="none"/>
                <w:lang w:val="en-US" w:eastAsia="zh-CN"/>
              </w:rPr>
              <w:t>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“经济价值”主要</w:t>
            </w:r>
            <w:r>
              <w:rPr>
                <w:rFonts w:hint="eastAsia" w:ascii="宋体" w:hAnsi="宋体" w:cs="宋体"/>
                <w:color w:val="000000"/>
                <w:sz w:val="24"/>
                <w:highlight w:val="none"/>
                <w:lang w:val="en-US" w:eastAsia="zh-CN"/>
              </w:rPr>
              <w:t>参考</w:t>
            </w:r>
            <w:r>
              <w:rPr>
                <w:rFonts w:hint="eastAsia" w:ascii="宋体" w:hAnsi="宋体" w:eastAsia="宋体" w:cs="宋体"/>
                <w:color w:val="000000"/>
                <w:sz w:val="24"/>
                <w:highlight w:val="none"/>
                <w:lang w:val="en-US" w:eastAsia="zh-CN"/>
              </w:rPr>
              <w:t>自然资源部《全民所有自然资源清查技术指南》（2024年）</w:t>
            </w:r>
            <w:r>
              <w:rPr>
                <w:rFonts w:hint="eastAsia" w:ascii="宋体" w:hAnsi="宋体" w:cs="宋体"/>
                <w:color w:val="000000"/>
                <w:sz w:val="24"/>
                <w:highlight w:val="none"/>
                <w:lang w:val="en-US" w:eastAsia="zh-CN"/>
              </w:rPr>
              <w:t>和TD/T 1096-2024《全民所有自然资源资产核算通则》，</w:t>
            </w:r>
            <w:r>
              <w:rPr>
                <w:rFonts w:hint="eastAsia" w:ascii="宋体" w:hAnsi="宋体" w:eastAsia="宋体" w:cs="宋体"/>
                <w:color w:val="000000"/>
                <w:sz w:val="24"/>
                <w:highlight w:val="none"/>
                <w:lang w:val="en-US" w:eastAsia="zh-CN"/>
              </w:rPr>
              <w:t>与自然资源领域通用术语保持一致。另</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生态价值核算“自然基点”也有货币化步骤，故改用“货币价值”可能会引起歧义。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全文</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文件末尾增加一条“定期更新和反馈机制”的说明，明确如何根据实际应用中的问题和建议进行文件的修订和优化。例如，可以增加一条说明：“本文件将根据实际应用中的问题和建议，定期进行修订和优化，确保核算方法的科学性和可操作性。理由：文件中未提及如何根据实际应用中的问题和建议进行定期更新和优化。</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部分采纳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s="宋体"/>
                <w:color w:val="000000"/>
                <w:sz w:val="24"/>
                <w:highlight w:val="none"/>
                <w:lang w:val="en-US" w:eastAsia="zh-CN"/>
              </w:rPr>
            </w:pPr>
            <w:r>
              <w:rPr>
                <w:rFonts w:hint="eastAsia" w:ascii="宋体" w:hAnsi="宋体" w:eastAsia="宋体" w:cs="宋体"/>
                <w:kern w:val="2"/>
                <w:sz w:val="24"/>
                <w:szCs w:val="24"/>
                <w:highlight w:val="none"/>
                <w:lang w:val="en-US" w:eastAsia="zh-CN" w:bidi="ar-SA"/>
              </w:rPr>
              <w:t>“定期更新和反馈机制”的说明</w:t>
            </w:r>
            <w:r>
              <w:rPr>
                <w:rFonts w:hint="eastAsia" w:ascii="宋体" w:hAnsi="宋体" w:cs="宋体"/>
                <w:kern w:val="2"/>
                <w:sz w:val="24"/>
                <w:szCs w:val="24"/>
                <w:highlight w:val="none"/>
                <w:lang w:val="en-US" w:eastAsia="zh-CN" w:bidi="ar-SA"/>
              </w:rPr>
              <w:t>写入了</w:t>
            </w:r>
            <w:r>
              <w:rPr>
                <w:rFonts w:hint="eastAsia" w:ascii="宋体" w:hAnsi="宋体" w:eastAsia="宋体" w:cs="宋体"/>
                <w:kern w:val="2"/>
                <w:sz w:val="24"/>
                <w:szCs w:val="24"/>
                <w:highlight w:val="none"/>
                <w:lang w:val="en-US" w:eastAsia="zh-CN" w:bidi="ar-SA"/>
              </w:rPr>
              <w:t>标准的编制说明</w:t>
            </w:r>
            <w:r>
              <w:rPr>
                <w:rFonts w:hint="eastAsia" w:ascii="宋体" w:hAnsi="宋体" w:cs="宋体"/>
                <w:kern w:val="2"/>
                <w:sz w:val="24"/>
                <w:szCs w:val="24"/>
                <w:highlight w:val="none"/>
                <w:lang w:val="en-US" w:eastAsia="zh-CN" w:bidi="ar-SA"/>
              </w:rPr>
              <w:t>第</w:t>
            </w:r>
            <w:r>
              <w:rPr>
                <w:rFonts w:hint="eastAsia" w:ascii="宋体" w:hAnsi="宋体" w:eastAsia="宋体" w:cs="宋体"/>
                <w:kern w:val="2"/>
                <w:sz w:val="24"/>
                <w:szCs w:val="24"/>
                <w:highlight w:val="none"/>
                <w:lang w:val="en-US" w:eastAsia="zh-CN" w:bidi="ar-SA"/>
              </w:rPr>
              <w:t>七</w:t>
            </w:r>
            <w:r>
              <w:rPr>
                <w:rFonts w:hint="eastAsia" w:ascii="宋体" w:hAnsi="宋体" w:cs="宋体"/>
                <w:kern w:val="2"/>
                <w:sz w:val="24"/>
                <w:szCs w:val="24"/>
                <w:highlight w:val="none"/>
                <w:lang w:val="en-US" w:eastAsia="zh-CN" w:bidi="ar-SA"/>
              </w:rPr>
              <w:t>章</w:t>
            </w:r>
            <w:r>
              <w:rPr>
                <w:rFonts w:hint="eastAsia" w:ascii="宋体" w:hAnsi="宋体" w:eastAsia="宋体" w:cs="宋体"/>
                <w:kern w:val="2"/>
                <w:sz w:val="24"/>
                <w:szCs w:val="24"/>
                <w:highlight w:val="none"/>
                <w:lang w:val="en-US" w:eastAsia="zh-CN" w:bidi="ar-SA"/>
              </w:rPr>
              <w:t>实施标准的措施建议</w:t>
            </w:r>
            <w:r>
              <w:rPr>
                <w:rFonts w:hint="eastAsia" w:ascii="宋体" w:hAnsi="宋体" w:cs="宋体"/>
                <w:kern w:val="2"/>
                <w:sz w:val="24"/>
                <w:szCs w:val="24"/>
                <w:highlight w:val="none"/>
                <w:lang w:val="en-US" w:eastAsia="zh-CN" w:bidi="ar-SA"/>
              </w:rPr>
              <w:t>中</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另，《深圳市地方标准制修订管理办法》（深圳市人民政府令第345号）对于</w:t>
            </w:r>
            <w:r>
              <w:rPr>
                <w:rFonts w:hint="eastAsia" w:ascii="宋体" w:hAnsi="宋体" w:eastAsia="宋体" w:cs="宋体"/>
                <w:kern w:val="2"/>
                <w:sz w:val="24"/>
                <w:szCs w:val="24"/>
                <w:highlight w:val="none"/>
                <w:lang w:val="en-US" w:eastAsia="zh-CN" w:bidi="ar-SA"/>
              </w:rPr>
              <w:t>“定期更新和反馈机制”</w:t>
            </w:r>
            <w:r>
              <w:rPr>
                <w:rFonts w:hint="eastAsia" w:ascii="宋体" w:hAnsi="宋体" w:cs="宋体"/>
                <w:kern w:val="2"/>
                <w:sz w:val="24"/>
                <w:szCs w:val="24"/>
                <w:highlight w:val="none"/>
                <w:lang w:val="en-US" w:eastAsia="zh-CN" w:bidi="ar-SA"/>
              </w:rPr>
              <w:t>有明确规定，行政主管部门等相关单位将做好落实工作。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color w:val="auto"/>
                <w:sz w:val="24"/>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全文</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0" w:lineRule="atLeas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文件末尾增加一条“培训和技术支持”的说明，明确如何为相关部门提供培训和技术支持。例如，可以增加一条说明：“为确保核算方法的正确应用，相关部门应定期组织培训和技术支持，帮助工作人员掌握核算方法。理由：文件中未提及如何为相关部门提供培训和技术支持，以确保核算方法的正确应用。</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公众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部分采纳</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kern w:val="2"/>
                <w:sz w:val="24"/>
                <w:szCs w:val="24"/>
                <w:highlight w:val="none"/>
                <w:lang w:val="en-US" w:eastAsia="zh-CN" w:bidi="ar-SA"/>
              </w:rPr>
              <w:t>“培训和技术支持”的说明</w:t>
            </w:r>
            <w:r>
              <w:rPr>
                <w:rFonts w:hint="eastAsia" w:ascii="宋体" w:hAnsi="宋体" w:cs="宋体"/>
                <w:kern w:val="2"/>
                <w:sz w:val="24"/>
                <w:szCs w:val="24"/>
                <w:highlight w:val="none"/>
                <w:lang w:val="en-US" w:eastAsia="zh-CN" w:bidi="ar-SA"/>
              </w:rPr>
              <w:t>写入了</w:t>
            </w:r>
            <w:r>
              <w:rPr>
                <w:rFonts w:hint="eastAsia" w:ascii="宋体" w:hAnsi="宋体" w:eastAsia="宋体" w:cs="宋体"/>
                <w:kern w:val="2"/>
                <w:sz w:val="24"/>
                <w:szCs w:val="24"/>
                <w:highlight w:val="none"/>
                <w:lang w:val="en-US" w:eastAsia="zh-CN" w:bidi="ar-SA"/>
              </w:rPr>
              <w:t>标准的编制说明</w:t>
            </w:r>
            <w:r>
              <w:rPr>
                <w:rFonts w:hint="eastAsia" w:ascii="宋体" w:hAnsi="宋体" w:cs="宋体"/>
                <w:kern w:val="2"/>
                <w:sz w:val="24"/>
                <w:szCs w:val="24"/>
                <w:highlight w:val="none"/>
                <w:lang w:val="en-US" w:eastAsia="zh-CN" w:bidi="ar-SA"/>
              </w:rPr>
              <w:t>第</w:t>
            </w:r>
            <w:r>
              <w:rPr>
                <w:rFonts w:hint="eastAsia" w:ascii="宋体" w:hAnsi="宋体" w:eastAsia="宋体" w:cs="宋体"/>
                <w:kern w:val="2"/>
                <w:sz w:val="24"/>
                <w:szCs w:val="24"/>
                <w:highlight w:val="none"/>
                <w:lang w:val="en-US" w:eastAsia="zh-CN" w:bidi="ar-SA"/>
              </w:rPr>
              <w:t>七</w:t>
            </w:r>
            <w:r>
              <w:rPr>
                <w:rFonts w:hint="eastAsia" w:ascii="宋体" w:hAnsi="宋体" w:cs="宋体"/>
                <w:kern w:val="2"/>
                <w:sz w:val="24"/>
                <w:szCs w:val="24"/>
                <w:highlight w:val="none"/>
                <w:lang w:val="en-US" w:eastAsia="zh-CN" w:bidi="ar-SA"/>
              </w:rPr>
              <w:t>章</w:t>
            </w:r>
            <w:r>
              <w:rPr>
                <w:rFonts w:hint="eastAsia" w:ascii="宋体" w:hAnsi="宋体" w:eastAsia="宋体" w:cs="宋体"/>
                <w:kern w:val="2"/>
                <w:sz w:val="24"/>
                <w:szCs w:val="24"/>
                <w:highlight w:val="none"/>
                <w:lang w:val="en-US" w:eastAsia="zh-CN" w:bidi="ar-SA"/>
              </w:rPr>
              <w:t>实施标准的措施建议</w:t>
            </w:r>
            <w:r>
              <w:rPr>
                <w:rFonts w:hint="eastAsia" w:ascii="宋体" w:hAnsi="宋体" w:cs="宋体"/>
                <w:kern w:val="2"/>
                <w:sz w:val="24"/>
                <w:szCs w:val="24"/>
                <w:highlight w:val="none"/>
                <w:lang w:val="en-US" w:eastAsia="zh-CN" w:bidi="ar-SA"/>
              </w:rPr>
              <w:t>中</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另，《深圳市地方标准制修订管理办法》（深圳市人民政府令第345号）对于</w:t>
            </w:r>
            <w:r>
              <w:rPr>
                <w:rFonts w:hint="eastAsia" w:ascii="宋体" w:hAnsi="宋体" w:eastAsia="宋体" w:cs="宋体"/>
                <w:kern w:val="2"/>
                <w:sz w:val="24"/>
                <w:szCs w:val="24"/>
                <w:highlight w:val="none"/>
                <w:lang w:val="en-US" w:eastAsia="zh-CN" w:bidi="ar-SA"/>
              </w:rPr>
              <w:t>“培训和技术支持”</w:t>
            </w:r>
            <w:r>
              <w:rPr>
                <w:rFonts w:hint="eastAsia" w:ascii="宋体" w:hAnsi="宋体" w:cs="宋体"/>
                <w:kern w:val="2"/>
                <w:sz w:val="24"/>
                <w:szCs w:val="24"/>
                <w:highlight w:val="none"/>
                <w:lang w:val="en-US" w:eastAsia="zh-CN" w:bidi="ar-SA"/>
              </w:rPr>
              <w:t>有明确规定，行政主管部门等相关单位将做好落实工作。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8405"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ind w:left="964" w:hanging="963" w:hangingChars="400"/>
              <w:jc w:val="left"/>
              <w:rPr>
                <w:rFonts w:hint="eastAsia" w:ascii="宋体" w:hAnsi="宋体" w:eastAsia="宋体" w:cs="宋体"/>
                <w:b w:val="0"/>
                <w:bCs w:val="0"/>
                <w:sz w:val="24"/>
              </w:rPr>
            </w:pPr>
            <w:r>
              <w:rPr>
                <w:rFonts w:hint="eastAsia" w:ascii="宋体" w:hAnsi="宋体" w:eastAsia="宋体" w:cs="宋体"/>
                <w:b/>
                <w:bCs/>
                <w:sz w:val="24"/>
              </w:rPr>
              <w:t>说明：</w:t>
            </w:r>
            <w:r>
              <w:rPr>
                <w:rFonts w:hint="eastAsia" w:ascii="宋体" w:hAnsi="宋体" w:eastAsia="宋体" w:cs="宋体"/>
                <w:b w:val="0"/>
                <w:bCs w:val="0"/>
                <w:sz w:val="24"/>
              </w:rPr>
              <w:t>1.征求意见</w:t>
            </w:r>
            <w:r>
              <w:rPr>
                <w:rFonts w:hint="eastAsia" w:ascii="宋体" w:hAnsi="宋体" w:eastAsia="宋体" w:cs="宋体"/>
                <w:b w:val="0"/>
                <w:bCs w:val="0"/>
                <w:sz w:val="24"/>
                <w:lang w:eastAsia="zh-CN"/>
              </w:rPr>
              <w:t>可</w:t>
            </w:r>
            <w:r>
              <w:rPr>
                <w:rFonts w:hint="eastAsia" w:ascii="宋体" w:hAnsi="宋体" w:eastAsia="宋体" w:cs="宋体"/>
                <w:b w:val="0"/>
                <w:bCs w:val="0"/>
                <w:sz w:val="24"/>
              </w:rPr>
              <w:t>采用网络、电话、书面以及会议相结合的方式，时间一般不少于1个月。</w:t>
            </w:r>
          </w:p>
          <w:p>
            <w:pPr>
              <w:adjustRightInd w:val="0"/>
              <w:snapToGrid w:val="0"/>
              <w:spacing w:line="300" w:lineRule="auto"/>
              <w:ind w:left="975" w:leftChars="350" w:hanging="240" w:hangingChars="100"/>
              <w:jc w:val="left"/>
              <w:rPr>
                <w:rFonts w:hint="eastAsia" w:ascii="宋体" w:hAnsi="宋体" w:eastAsia="宋体" w:cs="宋体"/>
                <w:b w:val="0"/>
                <w:bCs w:val="0"/>
                <w:sz w:val="24"/>
              </w:rPr>
            </w:pPr>
            <w:r>
              <w:rPr>
                <w:rFonts w:hint="eastAsia" w:ascii="宋体" w:hAnsi="宋体" w:eastAsia="宋体" w:cs="宋体"/>
                <w:b w:val="0"/>
                <w:bCs w:val="0"/>
                <w:sz w:val="24"/>
              </w:rPr>
              <w:t>2.处理意见分为“采纳”</w:t>
            </w:r>
            <w:r>
              <w:rPr>
                <w:rFonts w:hint="eastAsia" w:ascii="宋体" w:hAnsi="宋体" w:eastAsia="宋体" w:cs="宋体"/>
                <w:b w:val="0"/>
                <w:bCs w:val="0"/>
                <w:sz w:val="24"/>
                <w:lang w:eastAsia="zh-CN"/>
              </w:rPr>
              <w:t>、“部分采纳”</w:t>
            </w:r>
            <w:r>
              <w:rPr>
                <w:rFonts w:hint="eastAsia" w:ascii="宋体" w:hAnsi="宋体" w:eastAsia="宋体" w:cs="宋体"/>
                <w:b w:val="0"/>
                <w:bCs w:val="0"/>
                <w:sz w:val="24"/>
              </w:rPr>
              <w:t>或者“不采纳”，对于</w:t>
            </w:r>
            <w:r>
              <w:rPr>
                <w:rFonts w:hint="eastAsia" w:ascii="宋体" w:hAnsi="宋体" w:eastAsia="宋体" w:cs="宋体"/>
                <w:b w:val="0"/>
                <w:bCs w:val="0"/>
                <w:sz w:val="24"/>
                <w:lang w:eastAsia="zh-CN"/>
              </w:rPr>
              <w:t>部分采纳和</w:t>
            </w:r>
            <w:r>
              <w:rPr>
                <w:rFonts w:hint="eastAsia" w:ascii="宋体" w:hAnsi="宋体" w:eastAsia="宋体" w:cs="宋体"/>
                <w:b w:val="0"/>
                <w:bCs w:val="0"/>
                <w:sz w:val="24"/>
              </w:rPr>
              <w:t>不采纳的，应当在“备注”栏注明原因。</w:t>
            </w:r>
          </w:p>
          <w:p>
            <w:pPr>
              <w:adjustRightInd w:val="0"/>
              <w:snapToGrid w:val="0"/>
              <w:spacing w:line="300" w:lineRule="auto"/>
              <w:ind w:firstLine="4410" w:firstLineChars="2100"/>
              <w:jc w:val="center"/>
              <w:rPr>
                <w:rFonts w:hint="eastAsia" w:ascii="宋体" w:hAnsi="宋体" w:eastAsia="宋体" w:cs="宋体"/>
                <w:sz w:val="24"/>
              </w:rPr>
            </w:pPr>
            <w:r>
              <w:rPr>
                <w:rFonts w:hint="eastAsia" w:ascii="宋体" w:hAnsi="宋体" w:eastAsia="宋体" w:cs="宋体"/>
              </w:rPr>
              <w:t>（注：上述说明附在最后一页下面）</w:t>
            </w: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45C0E"/>
    <w:multiLevelType w:val="multilevel"/>
    <w:tmpl w:val="A5D45C0E"/>
    <w:lvl w:ilvl="0" w:tentative="0">
      <w:start w:val="1"/>
      <w:numFmt w:val="chineseCounting"/>
      <w:pStyle w:val="2"/>
      <w:suff w:val="nothing"/>
      <w:lvlText w:val="%1、"/>
      <w:lvlJc w:val="left"/>
      <w:pPr>
        <w:ind w:left="0" w:firstLine="0"/>
      </w:pPr>
      <w:rPr>
        <w:rFonts w:hint="eastAsia"/>
        <w:highlight w:val="none"/>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DF987CB"/>
    <w:multiLevelType w:val="singleLevel"/>
    <w:tmpl w:val="ADF987CB"/>
    <w:lvl w:ilvl="0" w:tentative="0">
      <w:start w:val="1"/>
      <w:numFmt w:val="decimal"/>
      <w:lvlText w:val="%1."/>
      <w:lvlJc w:val="left"/>
      <w:pPr>
        <w:ind w:left="425" w:hanging="425"/>
      </w:pPr>
      <w:rPr>
        <w:rFonts w:hint="default"/>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9"/>
      <w:suff w:val="nothing"/>
      <w:lvlText w:val="%1.%2.%3　"/>
      <w:lvlJc w:val="left"/>
      <w:pPr>
        <w:ind w:left="4111"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00172A27"/>
    <w:rsid w:val="00010CB4"/>
    <w:rsid w:val="000376A9"/>
    <w:rsid w:val="00065B5E"/>
    <w:rsid w:val="00070C29"/>
    <w:rsid w:val="000A047A"/>
    <w:rsid w:val="000E5527"/>
    <w:rsid w:val="00130DC1"/>
    <w:rsid w:val="00215D5E"/>
    <w:rsid w:val="002B70D2"/>
    <w:rsid w:val="00350744"/>
    <w:rsid w:val="003817BC"/>
    <w:rsid w:val="00464B60"/>
    <w:rsid w:val="00484600"/>
    <w:rsid w:val="004C171D"/>
    <w:rsid w:val="005504CF"/>
    <w:rsid w:val="005A0D29"/>
    <w:rsid w:val="005A1FAF"/>
    <w:rsid w:val="0060264A"/>
    <w:rsid w:val="006A01EC"/>
    <w:rsid w:val="00776C25"/>
    <w:rsid w:val="0082174B"/>
    <w:rsid w:val="00854574"/>
    <w:rsid w:val="00857845"/>
    <w:rsid w:val="00862D9A"/>
    <w:rsid w:val="0087492A"/>
    <w:rsid w:val="009D1D3C"/>
    <w:rsid w:val="00AD0359"/>
    <w:rsid w:val="00B0229F"/>
    <w:rsid w:val="00B427E0"/>
    <w:rsid w:val="00C15146"/>
    <w:rsid w:val="00D256C5"/>
    <w:rsid w:val="02E27210"/>
    <w:rsid w:val="030C006B"/>
    <w:rsid w:val="03270B96"/>
    <w:rsid w:val="038F0F77"/>
    <w:rsid w:val="03DF1EFE"/>
    <w:rsid w:val="04A54BAF"/>
    <w:rsid w:val="04DB49DB"/>
    <w:rsid w:val="053250AB"/>
    <w:rsid w:val="073309D5"/>
    <w:rsid w:val="0ABD3DBD"/>
    <w:rsid w:val="0B0D4C8C"/>
    <w:rsid w:val="0BD639B6"/>
    <w:rsid w:val="0C9C7D29"/>
    <w:rsid w:val="0D7E2EBC"/>
    <w:rsid w:val="0D8C4C6C"/>
    <w:rsid w:val="0DC60877"/>
    <w:rsid w:val="0F0C7CEB"/>
    <w:rsid w:val="0F0E261B"/>
    <w:rsid w:val="100126B3"/>
    <w:rsid w:val="1029025A"/>
    <w:rsid w:val="109264F3"/>
    <w:rsid w:val="116369AF"/>
    <w:rsid w:val="11C049F1"/>
    <w:rsid w:val="12135660"/>
    <w:rsid w:val="12767E94"/>
    <w:rsid w:val="132E4A0F"/>
    <w:rsid w:val="134115B9"/>
    <w:rsid w:val="166444E5"/>
    <w:rsid w:val="186F474C"/>
    <w:rsid w:val="18C87FFF"/>
    <w:rsid w:val="18CD6474"/>
    <w:rsid w:val="19AB19EC"/>
    <w:rsid w:val="1A760B6E"/>
    <w:rsid w:val="1B0B41FA"/>
    <w:rsid w:val="1CDB66CC"/>
    <w:rsid w:val="1D6A0789"/>
    <w:rsid w:val="1E055D97"/>
    <w:rsid w:val="1FC66798"/>
    <w:rsid w:val="219A5BBF"/>
    <w:rsid w:val="21B5605D"/>
    <w:rsid w:val="223956E9"/>
    <w:rsid w:val="22423303"/>
    <w:rsid w:val="239F0B19"/>
    <w:rsid w:val="24BBB8C1"/>
    <w:rsid w:val="24DB627F"/>
    <w:rsid w:val="265E50DA"/>
    <w:rsid w:val="26F61BE2"/>
    <w:rsid w:val="274016B0"/>
    <w:rsid w:val="28E41392"/>
    <w:rsid w:val="2945092C"/>
    <w:rsid w:val="2A5F1B67"/>
    <w:rsid w:val="2AB11B82"/>
    <w:rsid w:val="2ABC128E"/>
    <w:rsid w:val="2ACC1426"/>
    <w:rsid w:val="2AE800BD"/>
    <w:rsid w:val="2B841C63"/>
    <w:rsid w:val="2BB21984"/>
    <w:rsid w:val="2C016606"/>
    <w:rsid w:val="2E121023"/>
    <w:rsid w:val="2E2D15B9"/>
    <w:rsid w:val="2F755BB0"/>
    <w:rsid w:val="30760016"/>
    <w:rsid w:val="31435157"/>
    <w:rsid w:val="317C228B"/>
    <w:rsid w:val="32902E5D"/>
    <w:rsid w:val="32C84975"/>
    <w:rsid w:val="338B462A"/>
    <w:rsid w:val="34C55760"/>
    <w:rsid w:val="36AB195C"/>
    <w:rsid w:val="372A7C8D"/>
    <w:rsid w:val="39F34C8B"/>
    <w:rsid w:val="3AC3520F"/>
    <w:rsid w:val="3B7FED9D"/>
    <w:rsid w:val="3C095063"/>
    <w:rsid w:val="3C2F4AB6"/>
    <w:rsid w:val="3C305B6F"/>
    <w:rsid w:val="3DAC1B04"/>
    <w:rsid w:val="3FBD21CA"/>
    <w:rsid w:val="3FE5A05B"/>
    <w:rsid w:val="411C59E4"/>
    <w:rsid w:val="42593F13"/>
    <w:rsid w:val="44B66637"/>
    <w:rsid w:val="451F1690"/>
    <w:rsid w:val="45536169"/>
    <w:rsid w:val="4595191C"/>
    <w:rsid w:val="4805781F"/>
    <w:rsid w:val="48A562D0"/>
    <w:rsid w:val="49D85A26"/>
    <w:rsid w:val="4A1213AB"/>
    <w:rsid w:val="4C5E0AB3"/>
    <w:rsid w:val="4CFF5214"/>
    <w:rsid w:val="4D330C9F"/>
    <w:rsid w:val="4D8F714F"/>
    <w:rsid w:val="4DBD2A27"/>
    <w:rsid w:val="4DE2073F"/>
    <w:rsid w:val="4E5E4D9B"/>
    <w:rsid w:val="4F256051"/>
    <w:rsid w:val="4FF95972"/>
    <w:rsid w:val="502E606C"/>
    <w:rsid w:val="504A3D73"/>
    <w:rsid w:val="507D33F9"/>
    <w:rsid w:val="51750A31"/>
    <w:rsid w:val="52C443BD"/>
    <w:rsid w:val="53EE319E"/>
    <w:rsid w:val="547F729E"/>
    <w:rsid w:val="548E7E76"/>
    <w:rsid w:val="54D63807"/>
    <w:rsid w:val="55284604"/>
    <w:rsid w:val="5583158B"/>
    <w:rsid w:val="55875E4E"/>
    <w:rsid w:val="55CF2285"/>
    <w:rsid w:val="56317BF9"/>
    <w:rsid w:val="568E2E50"/>
    <w:rsid w:val="57025C59"/>
    <w:rsid w:val="571D1ACB"/>
    <w:rsid w:val="57A27CE8"/>
    <w:rsid w:val="58D6589D"/>
    <w:rsid w:val="5B2142DF"/>
    <w:rsid w:val="5B640A56"/>
    <w:rsid w:val="5B780F0D"/>
    <w:rsid w:val="5C44135B"/>
    <w:rsid w:val="5CE62915"/>
    <w:rsid w:val="5D235B62"/>
    <w:rsid w:val="5D307AEE"/>
    <w:rsid w:val="5DEA1027"/>
    <w:rsid w:val="5E987DA6"/>
    <w:rsid w:val="5EEFC8BB"/>
    <w:rsid w:val="60820DBC"/>
    <w:rsid w:val="610D6899"/>
    <w:rsid w:val="61371ECC"/>
    <w:rsid w:val="61612649"/>
    <w:rsid w:val="617827B9"/>
    <w:rsid w:val="624C4474"/>
    <w:rsid w:val="63471E49"/>
    <w:rsid w:val="636E203E"/>
    <w:rsid w:val="6474306B"/>
    <w:rsid w:val="64C96ABB"/>
    <w:rsid w:val="65FE3913"/>
    <w:rsid w:val="66A10361"/>
    <w:rsid w:val="66CB0DAC"/>
    <w:rsid w:val="67B157C0"/>
    <w:rsid w:val="681C1F38"/>
    <w:rsid w:val="689B3FAD"/>
    <w:rsid w:val="6AE398E5"/>
    <w:rsid w:val="6B076001"/>
    <w:rsid w:val="6C41462D"/>
    <w:rsid w:val="6E4C07AF"/>
    <w:rsid w:val="6EAF5499"/>
    <w:rsid w:val="6EEB5338"/>
    <w:rsid w:val="6F6A1B9E"/>
    <w:rsid w:val="6FE3114C"/>
    <w:rsid w:val="707B0A23"/>
    <w:rsid w:val="70D602D5"/>
    <w:rsid w:val="70FD0C90"/>
    <w:rsid w:val="7156569B"/>
    <w:rsid w:val="72A0271D"/>
    <w:rsid w:val="735C097E"/>
    <w:rsid w:val="7445205B"/>
    <w:rsid w:val="758E3908"/>
    <w:rsid w:val="768D2DF1"/>
    <w:rsid w:val="76BD038F"/>
    <w:rsid w:val="78A44A25"/>
    <w:rsid w:val="79304526"/>
    <w:rsid w:val="79371CBB"/>
    <w:rsid w:val="79990D43"/>
    <w:rsid w:val="7A096DCD"/>
    <w:rsid w:val="7B5C4B48"/>
    <w:rsid w:val="7B7A6207"/>
    <w:rsid w:val="7BB30942"/>
    <w:rsid w:val="7C252858"/>
    <w:rsid w:val="7CF84488"/>
    <w:rsid w:val="7D3D50E8"/>
    <w:rsid w:val="7D6F8697"/>
    <w:rsid w:val="7D7A1E24"/>
    <w:rsid w:val="7DA46C83"/>
    <w:rsid w:val="7DCF0D4F"/>
    <w:rsid w:val="7DF79621"/>
    <w:rsid w:val="7E2F563C"/>
    <w:rsid w:val="7E972F6B"/>
    <w:rsid w:val="7F6F4249"/>
    <w:rsid w:val="7FE33706"/>
    <w:rsid w:val="A9EEDB83"/>
    <w:rsid w:val="AFDF4608"/>
    <w:rsid w:val="B6B3B106"/>
    <w:rsid w:val="B77F1FC5"/>
    <w:rsid w:val="B77F8884"/>
    <w:rsid w:val="BEED5418"/>
    <w:rsid w:val="BF6C7019"/>
    <w:rsid w:val="DFB72F94"/>
    <w:rsid w:val="E33DEBEC"/>
    <w:rsid w:val="EBFEA915"/>
    <w:rsid w:val="FA5776A7"/>
    <w:rsid w:val="FB66CF1F"/>
    <w:rsid w:val="FBBBFD1E"/>
    <w:rsid w:val="FFDC830F"/>
    <w:rsid w:val="FFFAE8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4294967295"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4294967295"/>
    <w:pPr>
      <w:keepNext/>
      <w:keepLines/>
      <w:numPr>
        <w:ilvl w:val="0"/>
        <w:numId w:val="1"/>
      </w:numPr>
      <w:spacing w:before="340" w:beforeLines="0" w:beforeAutospacing="0" w:after="330" w:afterLines="0" w:afterAutospacing="0" w:line="576" w:lineRule="auto"/>
      <w:ind w:left="0"/>
      <w:outlineLvl w:val="0"/>
    </w:pPr>
    <w:rPr>
      <w:b/>
      <w:kern w:val="44"/>
      <w:sz w:val="44"/>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12"/>
    <w:unhideWhenUsed/>
    <w:qFormat/>
    <w:uiPriority w:val="99"/>
    <w:pPr>
      <w:jc w:val="left"/>
    </w:pPr>
  </w:style>
  <w:style w:type="paragraph" w:styleId="4">
    <w:name w:val="Balloon Text"/>
    <w:basedOn w:val="1"/>
    <w:link w:val="13"/>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annotation subject"/>
    <w:basedOn w:val="3"/>
    <w:next w:val="3"/>
    <w:link w:val="15"/>
    <w:unhideWhenUsed/>
    <w:qFormat/>
    <w:uiPriority w:val="99"/>
    <w:rPr>
      <w:b/>
      <w:bCs/>
    </w:rPr>
  </w:style>
  <w:style w:type="character" w:styleId="10">
    <w:name w:val="Strong"/>
    <w:basedOn w:val="9"/>
    <w:qFormat/>
    <w:uiPriority w:val="22"/>
    <w:rPr>
      <w:b/>
    </w:rPr>
  </w:style>
  <w:style w:type="character" w:styleId="11">
    <w:name w:val="annotation reference"/>
    <w:basedOn w:val="9"/>
    <w:unhideWhenUsed/>
    <w:qFormat/>
    <w:uiPriority w:val="99"/>
    <w:rPr>
      <w:sz w:val="21"/>
      <w:szCs w:val="21"/>
    </w:rPr>
  </w:style>
  <w:style w:type="character" w:customStyle="1" w:styleId="12">
    <w:name w:val="批注文字 Char"/>
    <w:basedOn w:val="9"/>
    <w:link w:val="3"/>
    <w:qFormat/>
    <w:uiPriority w:val="99"/>
    <w:rPr>
      <w:kern w:val="2"/>
      <w:sz w:val="21"/>
    </w:rPr>
  </w:style>
  <w:style w:type="character" w:customStyle="1" w:styleId="13">
    <w:name w:val="批注框文本 Char"/>
    <w:basedOn w:val="9"/>
    <w:link w:val="4"/>
    <w:semiHidden/>
    <w:qFormat/>
    <w:uiPriority w:val="99"/>
    <w:rPr>
      <w:kern w:val="2"/>
      <w:sz w:val="18"/>
      <w:szCs w:val="18"/>
    </w:rPr>
  </w:style>
  <w:style w:type="character" w:customStyle="1" w:styleId="14">
    <w:name w:val="页脚 Char"/>
    <w:link w:val="5"/>
    <w:qFormat/>
    <w:uiPriority w:val="99"/>
    <w:rPr>
      <w:kern w:val="2"/>
      <w:sz w:val="18"/>
    </w:rPr>
  </w:style>
  <w:style w:type="character" w:customStyle="1" w:styleId="15">
    <w:name w:val="批注主题 Char"/>
    <w:basedOn w:val="12"/>
    <w:link w:val="7"/>
    <w:semiHidden/>
    <w:qFormat/>
    <w:uiPriority w:val="99"/>
    <w:rPr>
      <w:b/>
      <w:bCs/>
    </w:rPr>
  </w:style>
  <w:style w:type="paragraph" w:customStyle="1" w:styleId="16">
    <w:name w:val="说明"/>
    <w:basedOn w:val="1"/>
    <w:qFormat/>
    <w:uiPriority w:val="0"/>
    <w:pPr>
      <w:spacing w:line="400" w:lineRule="atLeast"/>
    </w:pPr>
    <w:rPr>
      <w:rFonts w:ascii="楷体_GB2312" w:eastAsia="楷体_GB2312"/>
      <w:sz w:val="24"/>
    </w:rPr>
  </w:style>
  <w:style w:type="character" w:customStyle="1" w:styleId="17">
    <w:name w:val="font01"/>
    <w:basedOn w:val="9"/>
    <w:qFormat/>
    <w:uiPriority w:val="0"/>
    <w:rPr>
      <w:rFonts w:hint="eastAsia" w:ascii="宋体" w:hAnsi="宋体" w:eastAsia="宋体" w:cs="宋体"/>
      <w:color w:val="000000"/>
      <w:sz w:val="22"/>
      <w:szCs w:val="22"/>
      <w:u w:val="none"/>
    </w:rPr>
  </w:style>
  <w:style w:type="character" w:customStyle="1" w:styleId="18">
    <w:name w:val="font11"/>
    <w:basedOn w:val="9"/>
    <w:qFormat/>
    <w:uiPriority w:val="0"/>
    <w:rPr>
      <w:rFonts w:hint="eastAsia" w:ascii="宋体" w:hAnsi="宋体" w:eastAsia="宋体" w:cs="宋体"/>
      <w:color w:val="FF0000"/>
      <w:sz w:val="22"/>
      <w:szCs w:val="22"/>
      <w:u w:val="none"/>
    </w:rPr>
  </w:style>
  <w:style w:type="paragraph" w:customStyle="1" w:styleId="19">
    <w:name w:val="二级条标题"/>
    <w:basedOn w:val="20"/>
    <w:next w:val="21"/>
    <w:qFormat/>
    <w:uiPriority w:val="0"/>
    <w:pPr>
      <w:numPr>
        <w:ilvl w:val="2"/>
      </w:numPr>
      <w:spacing w:before="50" w:after="50"/>
      <w:outlineLvl w:val="3"/>
    </w:pPr>
  </w:style>
  <w:style w:type="paragraph" w:customStyle="1" w:styleId="20">
    <w:name w:val="一级条标题"/>
    <w:next w:val="21"/>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3659</Words>
  <Characters>3866</Characters>
  <Lines>2</Lines>
  <Paragraphs>1</Paragraphs>
  <TotalTime>1</TotalTime>
  <ScaleCrop>false</ScaleCrop>
  <LinksUpToDate>false</LinksUpToDate>
  <CharactersWithSpaces>3887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2012-06-08T01:30:00Z</dcterms:created>
  <dc:creator>李晓凤</dc:creator>
  <cp:lastModifiedBy>qilin</cp:lastModifiedBy>
  <cp:lastPrinted>2025-03-14T17:48:05Z</cp:lastPrinted>
  <dcterms:modified xsi:type="dcterms:W3CDTF">2025-03-14T17:48:09Z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158334B358D74BAE856899FF63FD2CD4_13</vt:lpwstr>
  </property>
  <property fmtid="{D5CDD505-2E9C-101B-9397-08002B2CF9AE}" pid="4" name="KSOTemplateDocerSaveRecord">
    <vt:lpwstr>eyJoZGlkIjoiNGU5NGFmYjMzNmY0NDI2ZDlmYTlkYzc0ZjQ5NzI0ODMiLCJ1c2VySWQiOiIxNDEzODg0MDQ2In0=</vt:lpwstr>
  </property>
</Properties>
</file>