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海陆共栖</w:t>
      </w:r>
      <w:r>
        <w:rPr>
          <w:rFonts w:hint="eastAsia" w:ascii="方正小标宋_GBK" w:hAnsi="方正小标宋_GBK" w:eastAsia="方正小标宋_GBK" w:cs="方正小标宋_GBK"/>
          <w:b w:val="0"/>
          <w:bCs w:val="0"/>
          <w:sz w:val="44"/>
          <w:szCs w:val="44"/>
          <w:lang w:val="en-US" w:eastAsia="zh-CN"/>
        </w:rPr>
        <w:t>-高密度城市中的红树林生态展</w:t>
      </w:r>
    </w:p>
    <w:p>
      <w:pPr>
        <w:spacing w:line="560" w:lineRule="exact"/>
        <w:ind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项目采购需求文件</w:t>
      </w:r>
      <w:bookmarkStart w:id="1" w:name="_GoBack"/>
      <w:bookmarkEnd w:id="1"/>
    </w:p>
    <w:p>
      <w:pPr>
        <w:spacing w:line="560" w:lineRule="exact"/>
        <w:ind w:firstLine="0" w:firstLineChars="0"/>
        <w:jc w:val="center"/>
        <w:rPr>
          <w:rFonts w:hint="eastAsia" w:ascii="方正小标宋_GBK" w:hAnsi="方正小标宋_GBK" w:eastAsia="方正小标宋_GBK" w:cs="方正小标宋_GBK"/>
          <w:b w:val="0"/>
          <w:bCs w:val="0"/>
          <w:sz w:val="44"/>
          <w:szCs w:val="44"/>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项目名称</w:t>
            </w:r>
          </w:p>
        </w:tc>
        <w:tc>
          <w:tcPr>
            <w:tcW w:w="7407" w:type="dxa"/>
            <w:gridSpan w:val="4"/>
            <w:vAlign w:val="center"/>
          </w:tcPr>
          <w:p>
            <w:pPr>
              <w:numPr>
                <w:ilvl w:val="-1"/>
                <w:numId w:val="0"/>
              </w:numPr>
              <w:jc w:val="left"/>
              <w:rPr>
                <w:rFonts w:ascii="仿宋" w:hAnsi="仿宋" w:eastAsia="仿宋" w:cs="仿宋"/>
                <w:color w:val="000000"/>
                <w:szCs w:val="21"/>
              </w:rPr>
            </w:pPr>
            <w:r>
              <w:rPr>
                <w:rFonts w:hint="default" w:ascii="仿宋" w:hAnsi="仿宋" w:eastAsia="仿宋" w:cs="仿宋"/>
                <w:color w:val="000000"/>
                <w:szCs w:val="21"/>
                <w:lang w:eastAsia="zh-CN"/>
              </w:rPr>
              <w:t>海陆共栖</w:t>
            </w:r>
            <w:r>
              <w:rPr>
                <w:rFonts w:hint="default" w:ascii="仿宋" w:hAnsi="仿宋" w:eastAsia="仿宋" w:cs="仿宋"/>
                <w:color w:val="000000"/>
                <w:szCs w:val="21"/>
                <w:lang w:val="en-US" w:eastAsia="zh-CN"/>
              </w:rPr>
              <w:t>-高密度城市中的红树林生态展</w:t>
            </w:r>
            <w:r>
              <w:rPr>
                <w:rFonts w:hint="default" w:ascii="仿宋" w:hAnsi="仿宋" w:eastAsia="仿宋" w:cs="仿宋"/>
                <w:color w:val="000000"/>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采购人名称</w:t>
            </w:r>
          </w:p>
        </w:tc>
        <w:tc>
          <w:tcPr>
            <w:tcW w:w="3780" w:type="dxa"/>
            <w:gridSpan w:val="2"/>
            <w:vAlign w:val="center"/>
          </w:tcPr>
          <w:p>
            <w:pPr>
              <w:jc w:val="left"/>
              <w:rPr>
                <w:rFonts w:ascii="仿宋" w:hAnsi="仿宋" w:eastAsia="仿宋" w:cs="仿宋"/>
                <w:color w:val="000000"/>
                <w:szCs w:val="21"/>
              </w:rPr>
            </w:pPr>
            <w:r>
              <w:rPr>
                <w:rFonts w:hint="default" w:ascii="仿宋" w:hAnsi="仿宋" w:eastAsia="仿宋" w:cs="仿宋"/>
                <w:color w:val="000000"/>
                <w:szCs w:val="21"/>
              </w:rPr>
              <w:t>广东内伶仃福田国家级自然保护区管理局</w:t>
            </w:r>
          </w:p>
        </w:tc>
        <w:tc>
          <w:tcPr>
            <w:tcW w:w="1366"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采购方式</w:t>
            </w:r>
          </w:p>
        </w:tc>
        <w:tc>
          <w:tcPr>
            <w:tcW w:w="2261"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计划立项批文号</w:t>
            </w:r>
          </w:p>
        </w:tc>
        <w:tc>
          <w:tcPr>
            <w:tcW w:w="3780" w:type="dxa"/>
            <w:gridSpan w:val="2"/>
            <w:vAlign w:val="center"/>
          </w:tcPr>
          <w:p>
            <w:pPr>
              <w:jc w:val="left"/>
              <w:rPr>
                <w:rFonts w:ascii="仿宋" w:hAnsi="仿宋" w:eastAsia="仿宋" w:cs="仿宋"/>
                <w:color w:val="000000"/>
                <w:szCs w:val="21"/>
                <w:lang w:val="en-US"/>
              </w:rPr>
            </w:pPr>
            <w:r>
              <w:rPr>
                <w:rFonts w:ascii="仿宋" w:hAnsi="仿宋" w:eastAsia="仿宋" w:cs="仿宋"/>
                <w:color w:val="000000"/>
                <w:szCs w:val="21"/>
                <w:lang w:val="en-US"/>
              </w:rPr>
              <w:t xml:space="preserve"> </w:t>
            </w:r>
          </w:p>
        </w:tc>
        <w:tc>
          <w:tcPr>
            <w:tcW w:w="1366"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资金来源</w:t>
            </w:r>
          </w:p>
        </w:tc>
        <w:tc>
          <w:tcPr>
            <w:tcW w:w="2261"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财政预算限额（元）</w:t>
            </w:r>
          </w:p>
        </w:tc>
        <w:tc>
          <w:tcPr>
            <w:tcW w:w="3780" w:type="dxa"/>
            <w:gridSpan w:val="2"/>
            <w:vAlign w:val="center"/>
          </w:tcPr>
          <w:p>
            <w:pPr>
              <w:jc w:val="left"/>
              <w:rPr>
                <w:rFonts w:ascii="仿宋" w:hAnsi="仿宋" w:eastAsia="仿宋" w:cs="仿宋"/>
                <w:color w:val="000000"/>
                <w:szCs w:val="21"/>
              </w:rPr>
            </w:pPr>
            <w:r>
              <w:rPr>
                <w:rFonts w:hint="default" w:ascii="仿宋" w:hAnsi="仿宋" w:eastAsia="仿宋" w:cs="仿宋"/>
                <w:color w:val="000000"/>
                <w:szCs w:val="21"/>
              </w:rPr>
              <w:t>19</w:t>
            </w:r>
            <w:r>
              <w:rPr>
                <w:rFonts w:hint="default" w:ascii="仿宋" w:hAnsi="仿宋" w:eastAsia="仿宋" w:cs="仿宋"/>
                <w:color w:val="000000"/>
                <w:szCs w:val="21"/>
                <w:lang w:val="en-US" w:eastAsia="zh-CN"/>
              </w:rPr>
              <w:t>8,656.50</w:t>
            </w:r>
            <w:r>
              <w:rPr>
                <w:rFonts w:hint="default" w:ascii="仿宋" w:hAnsi="仿宋" w:eastAsia="仿宋" w:cs="仿宋"/>
                <w:color w:val="000000"/>
                <w:szCs w:val="21"/>
              </w:rPr>
              <w:t>元</w:t>
            </w:r>
          </w:p>
        </w:tc>
        <w:tc>
          <w:tcPr>
            <w:tcW w:w="1366" w:type="dxa"/>
            <w:vAlign w:val="center"/>
          </w:tcPr>
          <w:p>
            <w:pPr>
              <w:jc w:val="left"/>
              <w:rPr>
                <w:rFonts w:ascii="仿宋" w:hAnsi="仿宋" w:eastAsia="仿宋" w:cs="仿宋"/>
                <w:color w:val="000000"/>
                <w:szCs w:val="21"/>
              </w:rPr>
            </w:pPr>
          </w:p>
        </w:tc>
        <w:tc>
          <w:tcPr>
            <w:tcW w:w="2261"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项目背景</w:t>
            </w:r>
          </w:p>
        </w:tc>
        <w:tc>
          <w:tcPr>
            <w:tcW w:w="7407" w:type="dxa"/>
            <w:gridSpan w:val="4"/>
            <w:vAlign w:val="center"/>
          </w:tcPr>
          <w:p>
            <w:pPr>
              <w:ind w:firstLine="420" w:firstLineChars="200"/>
              <w:jc w:val="left"/>
              <w:rPr>
                <w:rFonts w:hint="default" w:ascii="仿宋" w:hAnsi="仿宋" w:eastAsia="仿宋" w:cs="仿宋"/>
                <w:color w:val="000000"/>
                <w:kern w:val="2"/>
                <w:sz w:val="21"/>
                <w:szCs w:val="21"/>
                <w:lang w:val="en-US" w:eastAsia="zh-CN" w:bidi="ar-SA"/>
              </w:rPr>
            </w:pPr>
            <w:r>
              <w:rPr>
                <w:rFonts w:hint="default" w:ascii="仿宋" w:hAnsi="仿宋" w:eastAsia="仿宋" w:cs="仿宋"/>
                <w:color w:val="000000"/>
                <w:kern w:val="2"/>
                <w:sz w:val="21"/>
                <w:szCs w:val="21"/>
                <w:lang w:val="en-US" w:eastAsia="zh-CN"/>
              </w:rPr>
              <w:t>2</w:t>
            </w:r>
            <w:r>
              <w:rPr>
                <w:rFonts w:hint="default" w:ascii="仿宋" w:hAnsi="仿宋" w:eastAsia="仿宋" w:cs="仿宋"/>
                <w:color w:val="000000"/>
                <w:kern w:val="2"/>
                <w:sz w:val="21"/>
                <w:szCs w:val="21"/>
                <w:lang w:val="en-US" w:eastAsia="zh-CN" w:bidi="ar-SA"/>
              </w:rPr>
              <w:t>022年11月5日，习近平总书记在《湿地公约》第十四届缔约方大会开幕式上提出在深圳建立国际红树林中心的倡议。2023年9月，在国家林业和草原局的支持下，在深圳市政府的推动下，结合深圳绿色发展和生态保护需求，经《湿地公约》常委会第62次会议审议通过，全球首个国际红树林中心落户深圳。</w:t>
            </w:r>
          </w:p>
          <w:p>
            <w:pPr>
              <w:ind w:firstLine="0"/>
              <w:jc w:val="left"/>
              <w:rPr>
                <w:rFonts w:hint="default" w:ascii="仿宋" w:hAnsi="仿宋" w:eastAsia="仿宋" w:cs="仿宋"/>
                <w:color w:val="000000"/>
                <w:kern w:val="2"/>
                <w:sz w:val="21"/>
                <w:szCs w:val="21"/>
              </w:rPr>
            </w:pPr>
            <w:r>
              <w:rPr>
                <w:rFonts w:hint="default" w:ascii="仿宋" w:hAnsi="仿宋" w:eastAsia="仿宋" w:cs="仿宋"/>
                <w:color w:val="000000"/>
                <w:kern w:val="2"/>
                <w:sz w:val="21"/>
                <w:szCs w:val="21"/>
                <w:lang w:val="en-US" w:eastAsia="zh-CN" w:bidi="ar-SA"/>
              </w:rPr>
              <w:t>为了提升公众对红树林生态系统的认知，增强生态保护</w:t>
            </w:r>
            <w:r>
              <w:rPr>
                <w:rFonts w:hint="default" w:ascii="仿宋" w:hAnsi="仿宋" w:eastAsia="仿宋" w:cs="仿宋"/>
                <w:color w:val="000000"/>
                <w:kern w:val="2"/>
                <w:sz w:val="21"/>
                <w:szCs w:val="21"/>
              </w:rPr>
              <w:t>意识，同时推动高密度城市中红树林保护与城市发展的和谐共存，特举办“海陆共栖 - 高密度城市中的红树林生态展”。此次展览旨在通过展示红树林生态的独特魅力和重要价值，促进社会各界对红树林保护的关注与支持。</w:t>
            </w:r>
          </w:p>
          <w:p>
            <w:pPr>
              <w:ind w:firstLine="0" w:firstLineChars="0"/>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ascii="仿宋" w:hAnsi="仿宋" w:eastAsia="仿宋" w:cs="仿宋"/>
                <w:color w:val="000000"/>
                <w:szCs w:val="21"/>
              </w:rPr>
            </w:pPr>
            <w:r>
              <w:rPr>
                <w:rFonts w:hint="default" w:ascii="仿宋" w:hAnsi="仿宋" w:eastAsia="仿宋" w:cs="仿宋"/>
                <w:color w:val="000000"/>
                <w:szCs w:val="21"/>
              </w:rPr>
              <w:t>项目前期设计、规划论证单位</w:t>
            </w:r>
          </w:p>
        </w:tc>
        <w:tc>
          <w:tcPr>
            <w:tcW w:w="7407" w:type="dxa"/>
            <w:gridSpan w:val="4"/>
            <w:vAlign w:val="center"/>
          </w:tcPr>
          <w:p>
            <w:pPr>
              <w:jc w:val="left"/>
              <w:rPr>
                <w:rFonts w:ascii="仿宋" w:hAnsi="仿宋" w:eastAsia="仿宋" w:cs="仿宋"/>
                <w:color w:val="000000"/>
                <w:szCs w:val="21"/>
              </w:rPr>
            </w:pPr>
            <w:r>
              <w:rPr>
                <w:rFonts w:hint="default" w:ascii="仿宋" w:hAnsi="仿宋" w:eastAsia="仿宋" w:cs="仿宋"/>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rPr>
              <w:t>1、</w:t>
            </w:r>
            <w:r>
              <w:rPr>
                <w:rFonts w:hint="eastAsia" w:ascii="仿宋" w:hAnsi="仿宋" w:eastAsia="仿宋" w:cs="仿宋"/>
                <w:color w:val="000000"/>
                <w:kern w:val="0"/>
                <w:szCs w:val="21"/>
              </w:rPr>
              <w:t>具有独立法人资格；</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w:t>
            </w:r>
            <w:r>
              <w:rPr>
                <w:rFonts w:hint="eastAsia" w:ascii="仿宋" w:hAnsi="仿宋" w:eastAsia="仿宋" w:cs="仿宋"/>
                <w:color w:val="000000"/>
                <w:kern w:val="0"/>
                <w:szCs w:val="21"/>
              </w:rPr>
              <w:t>本项目不接受联合体投标，不允许分包，（不接受投标人选用进口产品参与投标）。</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lang w:val="en-US" w:eastAsia="zh-CN"/>
              </w:rPr>
              <w:t>3</w:t>
            </w:r>
            <w:r>
              <w:rPr>
                <w:rFonts w:hint="eastAsia" w:ascii="仿宋" w:hAnsi="仿宋" w:eastAsia="仿宋" w:cs="仿宋"/>
                <w:color w:val="000000"/>
                <w:szCs w:val="21"/>
              </w:rPr>
              <w:t>、</w:t>
            </w:r>
            <w:r>
              <w:rPr>
                <w:rFonts w:hint="eastAsia" w:ascii="仿宋" w:hAnsi="仿宋" w:eastAsia="仿宋" w:cs="仿宋"/>
                <w:color w:val="000000"/>
                <w:kern w:val="0"/>
                <w:szCs w:val="21"/>
              </w:rPr>
              <w:t>参与本项目投标前三年内，在经营活动中没有重大违法记录（由供应商在《供应商声明函》中作出声明）。</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lang w:val="en-US" w:eastAsia="zh-CN"/>
              </w:rPr>
              <w:t>4</w:t>
            </w:r>
            <w:r>
              <w:rPr>
                <w:rFonts w:hint="eastAsia" w:ascii="仿宋" w:hAnsi="仿宋" w:eastAsia="仿宋" w:cs="仿宋"/>
                <w:color w:val="000000"/>
                <w:szCs w:val="21"/>
              </w:rPr>
              <w:t>、</w:t>
            </w:r>
            <w:r>
              <w:rPr>
                <w:rFonts w:hint="eastAsia" w:ascii="仿宋" w:hAnsi="仿宋" w:eastAsia="仿宋" w:cs="仿宋"/>
                <w:color w:val="000000"/>
                <w:kern w:val="0"/>
                <w:szCs w:val="21"/>
              </w:rPr>
              <w:t>参与本项目政府采购活动时不存在被有关部门禁止参与政府采购活动且在有效期内的情况（由供应商在《供应商声明函》中作出声明）。</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w:t>
            </w:r>
            <w:r>
              <w:rPr>
                <w:rFonts w:hint="eastAsia" w:ascii="仿宋" w:hAnsi="仿宋" w:eastAsia="仿宋" w:cs="仿宋"/>
                <w:color w:val="000000"/>
                <w:kern w:val="0"/>
                <w:szCs w:val="21"/>
              </w:rPr>
              <w:t>具备《中华人民共和国政府采购法》第二十二条第一款的条件（由供应商在《供应商声明函》中作出声明）。</w:t>
            </w:r>
          </w:p>
          <w:p>
            <w:pPr>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rPr>
              <w:t>、</w:t>
            </w:r>
            <w:r>
              <w:rPr>
                <w:rFonts w:hint="eastAsia" w:ascii="仿宋" w:hAnsi="仿宋" w:eastAsia="仿宋" w:cs="仿宋"/>
                <w:color w:val="000000"/>
                <w:kern w:val="0"/>
                <w:szCs w:val="21"/>
              </w:rPr>
              <w:t>未被列入失信被执行人、重大税收违法案件当事人名单、政府采购严重违法失信行为记录名单（由供应商在《供应商声明函》中作出声明）。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ascii="仿宋" w:hAnsi="仿宋" w:eastAsia="仿宋" w:cs="仿宋"/>
                <w:color w:val="000000"/>
                <w:szCs w:val="21"/>
              </w:rPr>
            </w:pPr>
            <w:r>
              <w:rPr>
                <w:rFonts w:hint="eastAsia" w:ascii="仿宋" w:hAnsi="仿宋" w:eastAsia="仿宋" w:cs="仿宋"/>
                <w:color w:val="000000"/>
                <w:szCs w:val="21"/>
              </w:rPr>
              <w:t>1、报价要求</w:t>
            </w:r>
          </w:p>
          <w:p>
            <w:pPr>
              <w:ind w:firstLine="210" w:firstLineChars="100"/>
              <w:jc w:val="left"/>
              <w:rPr>
                <w:rFonts w:ascii="仿宋" w:hAnsi="仿宋" w:eastAsia="仿宋" w:cs="仿宋"/>
                <w:color w:val="000000"/>
                <w:szCs w:val="21"/>
              </w:rPr>
            </w:pPr>
            <w:r>
              <w:rPr>
                <w:rFonts w:hint="eastAsia" w:ascii="仿宋" w:hAnsi="仿宋" w:eastAsia="仿宋" w:cs="仿宋"/>
                <w:color w:val="000000"/>
                <w:szCs w:val="21"/>
              </w:rPr>
              <w:t>（1）本项目服务费不超过预算19</w:t>
            </w:r>
            <w:r>
              <w:rPr>
                <w:rFonts w:hint="eastAsia" w:ascii="仿宋" w:hAnsi="仿宋" w:eastAsia="仿宋" w:cs="仿宋"/>
                <w:color w:val="000000"/>
                <w:szCs w:val="21"/>
                <w:lang w:val="en-US" w:eastAsia="zh-CN"/>
              </w:rPr>
              <w:t>8,656.50</w:t>
            </w:r>
            <w:r>
              <w:rPr>
                <w:rFonts w:hint="eastAsia" w:ascii="仿宋" w:hAnsi="仿宋" w:eastAsia="仿宋" w:cs="仿宋"/>
                <w:color w:val="000000"/>
                <w:szCs w:val="21"/>
              </w:rPr>
              <w:t>元，应包括服务成本、法定税费和企业的利润。由投标供应商根据采购文件所提供的资料自行测算投标报价；一经中标，报价总价作为中标供应商与采购人签定的合同金额。</w:t>
            </w:r>
          </w:p>
          <w:p>
            <w:pPr>
              <w:widowControl/>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（2）本项目预算金额为人民币19</w:t>
            </w:r>
            <w:r>
              <w:rPr>
                <w:rFonts w:hint="eastAsia" w:ascii="仿宋" w:hAnsi="仿宋" w:eastAsia="仿宋" w:cs="仿宋"/>
                <w:color w:val="000000"/>
                <w:szCs w:val="21"/>
                <w:lang w:val="en-US" w:eastAsia="zh-CN"/>
              </w:rPr>
              <w:t>8,656.50</w:t>
            </w:r>
            <w:r>
              <w:rPr>
                <w:rFonts w:ascii="仿宋" w:hAnsi="仿宋" w:eastAsia="仿宋" w:cs="仿宋"/>
                <w:color w:val="000000"/>
                <w:szCs w:val="21"/>
              </w:rPr>
              <w:t>元</w:t>
            </w:r>
            <w:r>
              <w:rPr>
                <w:rFonts w:hint="eastAsia" w:ascii="仿宋" w:hAnsi="仿宋" w:eastAsia="仿宋" w:cs="仿宋"/>
                <w:color w:val="000000"/>
                <w:szCs w:val="21"/>
              </w:rPr>
              <w:t>，投标供应商的报价不得超过项目预算金额。</w:t>
            </w:r>
          </w:p>
          <w:p>
            <w:pPr>
              <w:widowControl/>
              <w:ind w:firstLine="210" w:firstLineChars="100"/>
              <w:jc w:val="left"/>
              <w:rPr>
                <w:rFonts w:ascii="仿宋" w:hAnsi="仿宋" w:eastAsia="仿宋" w:cs="仿宋"/>
                <w:color w:val="000000"/>
                <w:szCs w:val="21"/>
              </w:rPr>
            </w:pPr>
            <w:r>
              <w:rPr>
                <w:rFonts w:hint="eastAsia" w:ascii="仿宋" w:hAnsi="仿宋" w:eastAsia="仿宋" w:cs="仿宋"/>
                <w:color w:val="000000"/>
                <w:szCs w:val="21"/>
              </w:rPr>
              <w:t>（3）投标供应商的报价，应当是本项目采购范围和采购文件及合同条款上所列的各项内容中所述的全部，不得以任何理由予以重复。</w:t>
            </w:r>
          </w:p>
          <w:p>
            <w:pPr>
              <w:widowControl/>
              <w:ind w:firstLine="210" w:firstLineChars="100"/>
              <w:jc w:val="left"/>
              <w:rPr>
                <w:rFonts w:ascii="仿宋" w:hAnsi="仿宋" w:eastAsia="仿宋" w:cs="仿宋"/>
                <w:color w:val="000000"/>
                <w:szCs w:val="21"/>
              </w:rPr>
            </w:pPr>
            <w:r>
              <w:rPr>
                <w:rFonts w:hint="eastAsia" w:ascii="仿宋" w:hAnsi="仿宋" w:eastAsia="仿宋" w:cs="仿宋"/>
                <w:color w:val="000000"/>
                <w:szCs w:val="21"/>
              </w:rPr>
              <w:t>（4）投标供应商应先到项目地点踏勘以充分了解项目的位置、情况及任何其它足以影响报价的情况，任何因忽视或误解项目情况而导致的索赔或服务期限延长申请将不获批准。</w:t>
            </w:r>
          </w:p>
          <w:p>
            <w:pPr>
              <w:widowControl/>
              <w:ind w:firstLine="210" w:firstLineChars="100"/>
              <w:jc w:val="left"/>
              <w:rPr>
                <w:rFonts w:hint="eastAsia" w:ascii="仿宋" w:hAnsi="仿宋" w:eastAsia="仿宋" w:cs="仿宋"/>
                <w:color w:val="000000"/>
                <w:kern w:val="2"/>
                <w:sz w:val="21"/>
                <w:szCs w:val="21"/>
                <w:lang w:val="en" w:eastAsia="zh-CN" w:bidi="ar-SA"/>
              </w:rPr>
            </w:pPr>
            <w:r>
              <w:rPr>
                <w:rFonts w:hint="eastAsia" w:ascii="仿宋" w:hAnsi="仿宋" w:eastAsia="仿宋" w:cs="仿宋"/>
                <w:color w:val="000000"/>
                <w:szCs w:val="21"/>
              </w:rPr>
              <w:t>2、付款方式：</w:t>
            </w:r>
            <w:r>
              <w:rPr>
                <w:rFonts w:hint="eastAsia" w:ascii="仿宋" w:hAnsi="仿宋" w:eastAsia="仿宋" w:cs="仿宋"/>
                <w:color w:val="000000"/>
                <w:kern w:val="2"/>
                <w:sz w:val="21"/>
                <w:szCs w:val="21"/>
                <w:lang w:val="en-US" w:eastAsia="zh-CN" w:bidi="ar-SA"/>
              </w:rPr>
              <w:t>本项目采取分2期方式支付</w:t>
            </w:r>
          </w:p>
          <w:p>
            <w:pPr>
              <w:widowControl/>
              <w:ind w:firstLine="420" w:firstLineChars="20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首笔款：双方签订合同后，中标方开具付款申请函和有效发票后，甲方支付合同总金额的50% 即99,328.25元给乙方。</w:t>
            </w:r>
          </w:p>
          <w:p>
            <w:pPr>
              <w:widowControl/>
              <w:ind w:firstLine="210" w:firstLineChars="10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 w:eastAsia="zh-CN"/>
              </w:rPr>
              <w:t xml:space="preserve"> </w:t>
            </w:r>
            <w:r>
              <w:rPr>
                <w:rFonts w:hint="eastAsia" w:ascii="仿宋" w:hAnsi="仿宋" w:eastAsia="仿宋" w:cs="仿宋"/>
                <w:color w:val="000000"/>
                <w:kern w:val="2"/>
                <w:sz w:val="21"/>
                <w:szCs w:val="21"/>
                <w:lang w:val="en-US" w:eastAsia="zh-CN" w:bidi="ar-SA"/>
              </w:rPr>
              <w:t>二期款：中标方按合同规定完成各项工作内容，并提交付款申请及有效发票后，经甲方验收无误后，支付合同总金额的50% 即99,328.25元给乙方。</w:t>
            </w:r>
          </w:p>
          <w:p>
            <w:pPr>
              <w:widowControl/>
              <w:ind w:firstLine="210" w:firstLineChars="100"/>
              <w:jc w:val="left"/>
              <w:rPr>
                <w:rFonts w:ascii="仿宋" w:hAnsi="仿宋" w:eastAsia="仿宋" w:cs="仿宋"/>
                <w:color w:val="000000"/>
                <w:szCs w:val="21"/>
              </w:rPr>
            </w:pPr>
            <w:r>
              <w:rPr>
                <w:rFonts w:hint="eastAsia" w:ascii="仿宋" w:hAnsi="仿宋" w:eastAsia="仿宋" w:cs="仿宋"/>
                <w:color w:val="000000"/>
                <w:szCs w:val="21"/>
              </w:rPr>
              <w:t>3、履约保证金</w:t>
            </w:r>
          </w:p>
          <w:p>
            <w:pPr>
              <w:widowControl/>
              <w:ind w:firstLine="420" w:firstLineChars="200"/>
              <w:jc w:val="left"/>
              <w:rPr>
                <w:rFonts w:ascii="仿宋" w:hAnsi="仿宋" w:eastAsia="仿宋" w:cs="仿宋"/>
                <w:color w:val="000000"/>
                <w:kern w:val="0"/>
                <w:szCs w:val="21"/>
              </w:rPr>
            </w:pPr>
            <w:r>
              <w:rPr>
                <w:rFonts w:hint="eastAsia" w:ascii="仿宋" w:hAnsi="仿宋" w:eastAsia="仿宋" w:cs="仿宋"/>
                <w:color w:val="000000"/>
                <w:szCs w:val="21"/>
              </w:rPr>
              <w:t>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60" w:type="dxa"/>
            <w:vAlign w:val="center"/>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numPr>
                <w:ilvl w:val="-1"/>
                <w:numId w:val="0"/>
              </w:numPr>
              <w:ind w:firstLine="0" w:firstLineChars="0"/>
              <w:rPr>
                <w:rFonts w:hint="eastAsia" w:ascii="仿宋" w:hAnsi="仿宋" w:eastAsia="仿宋" w:cs="仿宋"/>
                <w:color w:val="000000"/>
                <w:szCs w:val="21"/>
              </w:rPr>
            </w:pPr>
            <w:r>
              <w:rPr>
                <w:rFonts w:hint="eastAsia" w:ascii="仿宋" w:hAnsi="仿宋" w:eastAsia="仿宋" w:cs="仿宋"/>
                <w:color w:val="000000"/>
                <w:szCs w:val="21"/>
                <w:lang w:eastAsia="zh-CN"/>
              </w:rPr>
              <w:t>（一）</w:t>
            </w:r>
            <w:r>
              <w:rPr>
                <w:rFonts w:hint="eastAsia" w:ascii="仿宋" w:hAnsi="仿宋" w:eastAsia="仿宋" w:cs="仿宋"/>
                <w:color w:val="000000"/>
                <w:szCs w:val="21"/>
              </w:rPr>
              <w:t>总体要求</w:t>
            </w:r>
          </w:p>
          <w:p>
            <w:pPr>
              <w:numPr>
                <w:ilvl w:val="-1"/>
                <w:numId w:val="0"/>
              </w:numPr>
              <w:ind w:firstLine="0" w:firstLineChars="0"/>
              <w:rPr>
                <w:rFonts w:hint="eastAsia" w:ascii="仿宋" w:hAnsi="仿宋" w:eastAsia="仿宋" w:cs="仿宋"/>
                <w:color w:val="000000"/>
                <w:szCs w:val="21"/>
              </w:rPr>
            </w:pPr>
            <w:r>
              <w:rPr>
                <w:rFonts w:hint="eastAsia" w:ascii="仿宋" w:hAnsi="仿宋" w:eastAsia="仿宋" w:cs="仿宋"/>
                <w:color w:val="000000"/>
                <w:szCs w:val="21"/>
              </w:rPr>
              <w:t>确保“海陆共栖-高密度城市中的红树林生态项目”在技术和艺术上均达到高标准，以提升公众对红树林生态重要性的认识和理解。</w:t>
            </w:r>
          </w:p>
          <w:p>
            <w:pPr>
              <w:numPr>
                <w:ilvl w:val="-1"/>
                <w:numId w:val="0"/>
              </w:numPr>
              <w:ind w:firstLine="0" w:firstLineChars="0"/>
              <w:rPr>
                <w:rFonts w:hint="eastAsia" w:ascii="仿宋" w:hAnsi="仿宋" w:eastAsia="仿宋" w:cs="仿宋"/>
                <w:color w:val="000000"/>
                <w:szCs w:val="21"/>
              </w:rPr>
            </w:pPr>
            <w:r>
              <w:rPr>
                <w:rFonts w:hint="eastAsia" w:ascii="仿宋" w:hAnsi="仿宋" w:eastAsia="仿宋" w:cs="仿宋"/>
                <w:color w:val="000000"/>
                <w:szCs w:val="21"/>
                <w:lang w:eastAsia="zh-CN"/>
              </w:rPr>
              <w:t>（二）</w:t>
            </w:r>
            <w:r>
              <w:rPr>
                <w:rFonts w:hint="eastAsia" w:ascii="仿宋" w:hAnsi="仿宋" w:eastAsia="仿宋" w:cs="仿宋"/>
                <w:color w:val="000000"/>
                <w:szCs w:val="21"/>
              </w:rPr>
              <w:t>服务地点</w:t>
            </w:r>
          </w:p>
          <w:p>
            <w:pPr>
              <w:numPr>
                <w:ilvl w:val="-1"/>
                <w:numId w:val="0"/>
              </w:numPr>
              <w:ind w:firstLine="0" w:firstLineChars="0"/>
              <w:rPr>
                <w:rFonts w:hint="eastAsia" w:ascii="仿宋" w:hAnsi="仿宋" w:eastAsia="仿宋" w:cs="仿宋"/>
                <w:color w:val="000000"/>
                <w:szCs w:val="21"/>
              </w:rPr>
            </w:pPr>
            <w:r>
              <w:rPr>
                <w:rFonts w:hint="eastAsia" w:ascii="仿宋" w:hAnsi="仿宋" w:eastAsia="仿宋" w:cs="仿宋"/>
                <w:color w:val="000000"/>
                <w:szCs w:val="21"/>
              </w:rPr>
              <w:t>广东省深圳市</w:t>
            </w:r>
          </w:p>
          <w:p>
            <w:pPr>
              <w:numPr>
                <w:ilvl w:val="-1"/>
                <w:numId w:val="0"/>
              </w:numPr>
              <w:ind w:firstLine="0" w:firstLineChars="0"/>
              <w:rPr>
                <w:rFonts w:hint="eastAsia" w:ascii="仿宋" w:hAnsi="仿宋" w:eastAsia="仿宋" w:cs="仿宋"/>
                <w:color w:val="000000"/>
                <w:szCs w:val="21"/>
                <w:lang w:val="en-US" w:eastAsia="zh-CN"/>
              </w:rPr>
            </w:pPr>
            <w:r>
              <w:rPr>
                <w:rFonts w:hint="eastAsia" w:ascii="仿宋" w:hAnsi="仿宋" w:eastAsia="仿宋" w:cs="仿宋"/>
                <w:color w:val="000000"/>
                <w:szCs w:val="21"/>
              </w:rPr>
              <w:t>服务时间</w:t>
            </w:r>
            <w:r>
              <w:rPr>
                <w:rFonts w:hint="eastAsia" w:ascii="仿宋" w:hAnsi="仿宋" w:eastAsia="仿宋" w:cs="仿宋"/>
                <w:color w:val="000000"/>
                <w:szCs w:val="21"/>
                <w:lang w:val="en-US" w:eastAsia="zh-CN"/>
              </w:rPr>
              <w:t xml:space="preserve"> </w:t>
            </w:r>
          </w:p>
          <w:p>
            <w:pPr>
              <w:numPr>
                <w:ilvl w:val="-1"/>
                <w:numId w:val="0"/>
              </w:numPr>
              <w:ind w:firstLine="0" w:firstLineChars="0"/>
              <w:rPr>
                <w:rFonts w:hint="eastAsia" w:ascii="仿宋" w:hAnsi="仿宋" w:eastAsia="仿宋" w:cs="仿宋"/>
                <w:color w:val="000000"/>
                <w:szCs w:val="21"/>
              </w:rPr>
            </w:pPr>
            <w:r>
              <w:rPr>
                <w:rFonts w:hint="eastAsia" w:ascii="仿宋" w:hAnsi="仿宋" w:eastAsia="仿宋" w:cs="仿宋"/>
                <w:color w:val="000000"/>
                <w:szCs w:val="21"/>
              </w:rPr>
              <w:t>20</w:t>
            </w:r>
            <w:r>
              <w:rPr>
                <w:rFonts w:hint="default" w:ascii="仿宋" w:hAnsi="仿宋" w:eastAsia="仿宋" w:cs="仿宋"/>
                <w:color w:val="000000"/>
                <w:szCs w:val="21"/>
                <w:lang w:val="en"/>
              </w:rPr>
              <w:t>25</w:t>
            </w:r>
            <w:r>
              <w:rPr>
                <w:rFonts w:hint="eastAsia" w:ascii="仿宋" w:hAnsi="仿宋" w:eastAsia="仿宋" w:cs="仿宋"/>
                <w:color w:val="000000"/>
                <w:szCs w:val="21"/>
              </w:rPr>
              <w:t>年</w:t>
            </w:r>
            <w:r>
              <w:rPr>
                <w:rFonts w:hint="default" w:ascii="仿宋" w:hAnsi="仿宋" w:eastAsia="仿宋" w:cs="仿宋"/>
                <w:color w:val="000000"/>
                <w:szCs w:val="21"/>
                <w:lang w:val="en"/>
              </w:rPr>
              <w:t>3</w:t>
            </w:r>
            <w:r>
              <w:rPr>
                <w:rFonts w:hint="eastAsia" w:ascii="仿宋" w:hAnsi="仿宋" w:eastAsia="仿宋" w:cs="仿宋"/>
                <w:color w:val="000000"/>
                <w:szCs w:val="21"/>
              </w:rPr>
              <w:t>月</w:t>
            </w:r>
            <w:r>
              <w:rPr>
                <w:rFonts w:hint="eastAsia" w:ascii="仿宋" w:hAnsi="仿宋" w:eastAsia="仿宋" w:cs="仿宋"/>
                <w:color w:val="000000"/>
                <w:szCs w:val="21"/>
                <w:lang w:val="en-US" w:eastAsia="zh-CN"/>
              </w:rPr>
              <w:t>20</w:t>
            </w:r>
            <w:r>
              <w:rPr>
                <w:rFonts w:hint="eastAsia" w:ascii="仿宋" w:hAnsi="仿宋" w:eastAsia="仿宋" w:cs="仿宋"/>
                <w:color w:val="000000"/>
                <w:szCs w:val="21"/>
              </w:rPr>
              <w:t>日-</w:t>
            </w:r>
            <w:r>
              <w:rPr>
                <w:rFonts w:hint="default" w:ascii="仿宋" w:hAnsi="仿宋" w:eastAsia="仿宋" w:cs="仿宋"/>
                <w:color w:val="000000"/>
                <w:szCs w:val="21"/>
                <w:lang w:val="en"/>
              </w:rPr>
              <w:t>6</w:t>
            </w:r>
            <w:r>
              <w:rPr>
                <w:rFonts w:hint="eastAsia" w:ascii="仿宋" w:hAnsi="仿宋" w:eastAsia="仿宋" w:cs="仿宋"/>
                <w:color w:val="000000"/>
                <w:szCs w:val="21"/>
              </w:rPr>
              <w:t>月3</w:t>
            </w:r>
            <w:r>
              <w:rPr>
                <w:rFonts w:hint="eastAsia" w:ascii="仿宋" w:hAnsi="仿宋" w:eastAsia="仿宋" w:cs="仿宋"/>
                <w:color w:val="000000"/>
                <w:szCs w:val="21"/>
                <w:lang w:val="en-US" w:eastAsia="zh-CN"/>
              </w:rPr>
              <w:t>0</w:t>
            </w:r>
            <w:r>
              <w:rPr>
                <w:rFonts w:hint="eastAsia" w:ascii="仿宋" w:hAnsi="仿宋" w:eastAsia="仿宋" w:cs="仿宋"/>
                <w:color w:val="000000"/>
                <w:szCs w:val="21"/>
              </w:rPr>
              <w:t>日；</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lang w:eastAsia="zh-CN"/>
              </w:rPr>
              <w:t>（三）</w:t>
            </w:r>
            <w:r>
              <w:rPr>
                <w:rFonts w:hint="eastAsia"/>
              </w:rPr>
              <w:t>展</w:t>
            </w:r>
            <w:r>
              <w:rPr>
                <w:rFonts w:hint="eastAsia" w:ascii="仿宋" w:hAnsi="仿宋" w:eastAsia="仿宋" w:cs="仿宋"/>
                <w:color w:val="000000"/>
                <w:szCs w:val="21"/>
              </w:rPr>
              <w:t>览布置技术要求</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1.植物租赁：确保植物健康，适应展览环境。</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2.海报制作：使用耐久材料，确保色彩鲜艳</w:t>
            </w:r>
            <w:r>
              <w:rPr>
                <w:rFonts w:hint="eastAsia" w:ascii="仿宋" w:hAnsi="仿宋" w:eastAsia="仿宋" w:cs="仿宋"/>
                <w:color w:val="000000"/>
                <w:szCs w:val="21"/>
                <w:lang w:val="en"/>
              </w:rPr>
              <w:t>,</w:t>
            </w:r>
            <w:r>
              <w:rPr>
                <w:rFonts w:hint="eastAsia" w:ascii="仿宋" w:hAnsi="仿宋" w:eastAsia="仿宋" w:cs="仿宋"/>
                <w:color w:val="000000"/>
                <w:szCs w:val="21"/>
              </w:rPr>
              <w:t>安装需牢固安全。</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3.Logo字制作：结构稳定，字体清晰。</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4.布场工作：按时完成，符合主题和设计。</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lang w:eastAsia="zh-CN"/>
              </w:rPr>
              <w:t>（四）</w:t>
            </w:r>
            <w:r>
              <w:rPr>
                <w:rFonts w:hint="eastAsia" w:ascii="仿宋" w:hAnsi="仿宋" w:eastAsia="仿宋" w:cs="仿宋"/>
                <w:color w:val="000000"/>
                <w:szCs w:val="21"/>
              </w:rPr>
              <w:t>策展技术要求</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1.主题策划</w:t>
            </w:r>
            <w:r>
              <w:rPr>
                <w:rFonts w:hint="eastAsia" w:ascii="仿宋" w:hAnsi="仿宋" w:eastAsia="仿宋" w:cs="仿宋"/>
                <w:color w:val="000000"/>
                <w:szCs w:val="21"/>
                <w:lang w:eastAsia="zh-CN"/>
              </w:rPr>
              <w:t>：</w:t>
            </w:r>
            <w:r>
              <w:rPr>
                <w:rFonts w:hint="eastAsia" w:ascii="仿宋" w:hAnsi="仿宋" w:eastAsia="仿宋" w:cs="仿宋"/>
                <w:color w:val="000000"/>
                <w:szCs w:val="21"/>
              </w:rPr>
              <w:t>主题明确，内容一致。</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2.内容编辑：文案准确，图片说明清晰。</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3.素材整理：版权清晰，质量高。</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4.版权采购：图片版权合法，质量高。</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5.书籍租赁：内容相关，状态良好。</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6.标本租赁：真实完好，展示合规。</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7.翻译：翻译准确，无语法错误。</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lang w:eastAsia="zh-CN"/>
              </w:rPr>
              <w:t>（五）</w:t>
            </w:r>
            <w:r>
              <w:rPr>
                <w:rFonts w:hint="eastAsia" w:ascii="仿宋" w:hAnsi="仿宋" w:eastAsia="仿宋" w:cs="仿宋"/>
                <w:color w:val="000000"/>
                <w:szCs w:val="21"/>
              </w:rPr>
              <w:t>平面设计技术要求</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1.海报设计：设计吸引，尺寸准确。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2.玻璃贴设计：吸引眼球，适合户外。</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3.动物插板设计：生动教育，尺寸准确。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4.展板排版：排版清晰，内容准确。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5.电视展板：排版适合电视，内容准确。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6.展架排版：排版合理，展示效果好。</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7.易拉宝设计：设计吸引，含必要信息。</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8.增补海报设计：设计吸引，尺寸准确。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9.会客区展板：设计美观，尺寸准确。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10.展签设计：设计清晰，内容准确。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11.VI易拉宝设计：符合VI标准，尺寸准确。</w:t>
            </w:r>
          </w:p>
          <w:p>
            <w:pPr>
              <w:numPr>
                <w:ilvl w:val="0"/>
                <w:numId w:val="0"/>
              </w:numPr>
              <w:rPr>
                <w:rFonts w:hint="eastAsia" w:ascii="仿宋" w:hAnsi="仿宋" w:eastAsia="仿宋" w:cs="仿宋"/>
                <w:color w:val="000000"/>
                <w:szCs w:val="21"/>
              </w:rPr>
            </w:pPr>
            <w:r>
              <w:rPr>
                <w:rFonts w:hint="eastAsia" w:ascii="仿宋" w:hAnsi="仿宋" w:eastAsia="仿宋" w:cs="仿宋"/>
                <w:color w:val="000000"/>
                <w:szCs w:val="21"/>
              </w:rPr>
              <w:t>12.影像编辑：格式适合，质量高。</w:t>
            </w:r>
          </w:p>
          <w:p>
            <w:pPr>
              <w:numPr>
                <w:ilvl w:val="-1"/>
                <w:numId w:val="0"/>
              </w:numPr>
              <w:ind w:firstLine="0" w:firstLineChars="0"/>
              <w:rPr>
                <w:rFonts w:ascii="仿宋" w:hAnsi="仿宋" w:eastAsia="仿宋" w:cs="仿宋"/>
                <w:szCs w:val="21"/>
              </w:rPr>
            </w:pPr>
            <w:r>
              <w:rPr>
                <w:rFonts w:hint="eastAsia" w:ascii="仿宋" w:hAnsi="仿宋" w:eastAsia="仿宋" w:cs="仿宋"/>
                <w:color w:val="000000"/>
                <w:szCs w:val="21"/>
              </w:rPr>
              <w:t>13.立体标识设计：符合VI标准，尺寸准确。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pStyle w:val="3"/>
              <w:spacing w:before="78" w:beforeLines="25" w:after="78" w:afterLines="25"/>
              <w:jc w:val="left"/>
              <w:rPr>
                <w:rFonts w:ascii="仿宋" w:hAnsi="仿宋" w:eastAsia="仿宋" w:cs="仿宋"/>
                <w:color w:val="000000"/>
                <w:szCs w:val="21"/>
              </w:rPr>
            </w:pPr>
            <w:r>
              <w:rPr>
                <w:rFonts w:hint="eastAsia" w:ascii="仿宋" w:hAnsi="仿宋" w:eastAsia="仿宋" w:cs="仿宋"/>
                <w:color w:val="000000"/>
                <w:szCs w:val="21"/>
              </w:rPr>
              <w:t>1、服务期限</w:t>
            </w:r>
          </w:p>
          <w:p>
            <w:pPr>
              <w:pStyle w:val="3"/>
              <w:spacing w:before="78" w:beforeLines="25" w:after="78" w:afterLines="25"/>
              <w:jc w:val="left"/>
              <w:rPr>
                <w:rFonts w:ascii="仿宋" w:hAnsi="仿宋" w:eastAsia="仿宋" w:cs="仿宋"/>
                <w:color w:val="000000"/>
                <w:szCs w:val="21"/>
              </w:rPr>
            </w:pPr>
            <w:bookmarkStart w:id="0" w:name="_Hlk132040907"/>
            <w:r>
              <w:rPr>
                <w:rFonts w:hint="eastAsia" w:ascii="仿宋" w:hAnsi="仿宋" w:eastAsia="仿宋" w:cs="仿宋"/>
                <w:color w:val="000000"/>
                <w:szCs w:val="21"/>
              </w:rPr>
              <w:t>合同签订之日起至202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月</w:t>
            </w:r>
            <w:r>
              <w:rPr>
                <w:rFonts w:hint="eastAsia" w:ascii="仿宋" w:hAnsi="仿宋" w:eastAsia="仿宋" w:cs="仿宋"/>
                <w:color w:val="000000"/>
                <w:szCs w:val="21"/>
                <w:lang w:val="en-US" w:eastAsia="zh-CN"/>
              </w:rPr>
              <w:t>30</w:t>
            </w:r>
            <w:r>
              <w:rPr>
                <w:rFonts w:hint="eastAsia" w:ascii="仿宋" w:hAnsi="仿宋" w:eastAsia="仿宋" w:cs="仿宋"/>
                <w:color w:val="000000"/>
                <w:szCs w:val="21"/>
              </w:rPr>
              <w:t>日，</w:t>
            </w:r>
            <w:r>
              <w:rPr>
                <w:rFonts w:hint="eastAsia" w:ascii="仿宋" w:hAnsi="仿宋" w:eastAsia="仿宋" w:cs="仿宋"/>
                <w:szCs w:val="21"/>
              </w:rPr>
              <w:t>完成本项目的最终全部工作内容</w:t>
            </w:r>
            <w:bookmarkEnd w:id="0"/>
            <w:r>
              <w:rPr>
                <w:rFonts w:hint="eastAsia" w:ascii="仿宋" w:hAnsi="仿宋" w:eastAsia="仿宋" w:cs="仿宋"/>
                <w:color w:val="000000"/>
                <w:szCs w:val="21"/>
              </w:rPr>
              <w:t>。</w:t>
            </w:r>
          </w:p>
          <w:p>
            <w:pPr>
              <w:pStyle w:val="3"/>
              <w:spacing w:before="78" w:beforeLines="25" w:after="78" w:afterLines="25"/>
              <w:jc w:val="left"/>
              <w:rPr>
                <w:rFonts w:ascii="仿宋" w:hAnsi="仿宋" w:eastAsia="仿宋" w:cs="仿宋"/>
                <w:color w:val="000000"/>
                <w:szCs w:val="21"/>
              </w:rPr>
            </w:pPr>
            <w:r>
              <w:rPr>
                <w:rFonts w:hint="eastAsia" w:ascii="仿宋" w:hAnsi="仿宋" w:eastAsia="仿宋" w:cs="仿宋"/>
                <w:color w:val="000000"/>
                <w:szCs w:val="21"/>
              </w:rPr>
              <w:t>2、进度安排</w:t>
            </w:r>
          </w:p>
          <w:p>
            <w:pPr>
              <w:pStyle w:val="3"/>
              <w:spacing w:before="78" w:beforeLines="25" w:after="78" w:afterLines="25"/>
              <w:jc w:val="left"/>
              <w:rPr>
                <w:rFonts w:ascii="仿宋" w:hAnsi="仿宋" w:eastAsia="仿宋" w:cs="仿宋"/>
                <w:color w:val="000000"/>
                <w:szCs w:val="21"/>
                <w:lang w:val="en"/>
              </w:rPr>
            </w:pPr>
            <w:r>
              <w:rPr>
                <w:rFonts w:hint="eastAsia" w:ascii="仿宋" w:hAnsi="仿宋" w:eastAsia="仿宋" w:cs="仿宋"/>
                <w:color w:val="000000"/>
                <w:szCs w:val="21"/>
                <w:lang w:val="en"/>
              </w:rPr>
              <w:t>合同签订后，中标人应于一周内组织项目团队启动项目有关工作，</w:t>
            </w:r>
            <w:r>
              <w:rPr>
                <w:rFonts w:hint="eastAsia" w:ascii="仿宋" w:hAnsi="仿宋" w:eastAsia="仿宋" w:cs="仿宋"/>
                <w:color w:val="000000"/>
                <w:szCs w:val="21"/>
              </w:rPr>
              <w:t>并于</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月</w:t>
            </w:r>
            <w:r>
              <w:rPr>
                <w:rFonts w:hint="eastAsia" w:ascii="仿宋" w:hAnsi="仿宋" w:eastAsia="仿宋" w:cs="仿宋"/>
                <w:color w:val="000000"/>
                <w:szCs w:val="21"/>
                <w:lang w:val="en-US" w:eastAsia="zh-CN"/>
              </w:rPr>
              <w:t>30</w:t>
            </w:r>
            <w:r>
              <w:rPr>
                <w:rFonts w:hint="eastAsia" w:ascii="仿宋" w:hAnsi="仿宋" w:eastAsia="仿宋" w:cs="仿宋"/>
                <w:color w:val="000000"/>
                <w:szCs w:val="21"/>
              </w:rPr>
              <w:t>日前完成所有工作</w:t>
            </w:r>
            <w:r>
              <w:rPr>
                <w:rFonts w:hint="eastAsia" w:ascii="仿宋" w:hAnsi="仿宋" w:eastAsia="仿宋" w:cs="仿宋"/>
                <w:color w:val="000000"/>
                <w:szCs w:val="21"/>
                <w:lang w:val="en"/>
              </w:rPr>
              <w:t>。</w:t>
            </w:r>
          </w:p>
          <w:p>
            <w:pPr>
              <w:pStyle w:val="3"/>
              <w:numPr>
                <w:ilvl w:val="-1"/>
                <w:numId w:val="0"/>
              </w:numPr>
              <w:spacing w:before="78" w:beforeLines="25" w:after="78" w:afterLines="25"/>
              <w:ind w:firstLineChars="200"/>
              <w:jc w:val="left"/>
              <w:rPr>
                <w:rFonts w:ascii="仿宋" w:hAnsi="仿宋" w:eastAsia="仿宋" w:cs="仿宋"/>
                <w:color w:val="000000"/>
                <w:szCs w:val="21"/>
                <w:highlight w:val="cyan"/>
              </w:rPr>
            </w:pPr>
            <w:r>
              <w:rPr>
                <w:rFonts w:hint="eastAsia" w:ascii="仿宋" w:hAnsi="仿宋" w:eastAsia="仿宋" w:cs="仿宋"/>
                <w:color w:val="000000"/>
                <w:szCs w:val="21"/>
                <w:lang w:val="en-US" w:eastAsia="zh-CN"/>
              </w:rPr>
              <w:t>3、</w:t>
            </w:r>
            <w:r>
              <w:rPr>
                <w:rFonts w:hint="eastAsia" w:ascii="仿宋" w:hAnsi="仿宋" w:eastAsia="仿宋" w:cs="仿宋"/>
                <w:color w:val="000000"/>
                <w:szCs w:val="21"/>
                <w:highlight w:val="none"/>
              </w:rPr>
              <w:t>成果要求</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按合同规定完成“海陆共栖 - 高密度城市中的红树林生态展”的所有制作、策展和平面设计工作。</w:t>
            </w:r>
          </w:p>
          <w:p>
            <w:pPr>
              <w:pStyle w:val="3"/>
              <w:numPr>
                <w:ilvl w:val="255"/>
                <w:numId w:val="0"/>
              </w:numPr>
              <w:spacing w:before="78" w:beforeLines="25" w:after="78" w:afterLines="25"/>
              <w:ind w:firstLineChars="200"/>
              <w:jc w:val="left"/>
              <w:rPr>
                <w:rFonts w:ascii="仿宋" w:hAnsi="仿宋" w:eastAsia="仿宋" w:cs="仿宋"/>
                <w:color w:val="000000"/>
                <w:szCs w:val="21"/>
              </w:rPr>
            </w:pPr>
            <w:r>
              <w:rPr>
                <w:rFonts w:hint="eastAsia" w:ascii="仿宋" w:hAnsi="仿宋" w:eastAsia="仿宋" w:cs="仿宋"/>
                <w:color w:val="000000"/>
                <w:szCs w:val="21"/>
              </w:rPr>
              <w:t xml:space="preserve">4、服务质量监督和项目验收要求 </w:t>
            </w:r>
          </w:p>
          <w:p>
            <w:pPr>
              <w:pStyle w:val="3"/>
              <w:spacing w:before="78" w:beforeLines="25" w:after="78" w:afterLines="25"/>
              <w:jc w:val="left"/>
              <w:rPr>
                <w:rFonts w:ascii="仿宋" w:hAnsi="仿宋" w:eastAsia="仿宋" w:cs="仿宋"/>
                <w:color w:val="000000"/>
                <w:szCs w:val="21"/>
              </w:rPr>
            </w:pPr>
            <w:r>
              <w:rPr>
                <w:rFonts w:hint="eastAsia" w:ascii="仿宋" w:hAnsi="仿宋" w:eastAsia="仿宋" w:cs="仿宋"/>
                <w:color w:val="000000"/>
                <w:szCs w:val="21"/>
              </w:rPr>
              <w:t>按采购方的招标技术及时间要求，完成相应工作成果并全部提交后，采购方将进行项目验收。</w:t>
            </w:r>
          </w:p>
          <w:p>
            <w:pPr>
              <w:pStyle w:val="3"/>
              <w:widowControl/>
              <w:spacing w:before="78" w:beforeLines="25" w:after="78" w:afterLines="25"/>
              <w:jc w:val="left"/>
              <w:rPr>
                <w:rFonts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w:t>
            </w:r>
            <w:r>
              <w:rPr>
                <w:rFonts w:ascii="仿宋" w:hAnsi="仿宋" w:eastAsia="仿宋" w:cs="仿宋"/>
                <w:color w:val="000000"/>
                <w:szCs w:val="21"/>
              </w:rPr>
              <w:t>售后服务要求</w:t>
            </w:r>
          </w:p>
          <w:p>
            <w:pPr>
              <w:pStyle w:val="3"/>
              <w:spacing w:before="78" w:beforeLines="25" w:after="78" w:afterLines="25"/>
              <w:jc w:val="left"/>
              <w:rPr>
                <w:rFonts w:ascii="仿宋" w:hAnsi="仿宋" w:eastAsia="仿宋" w:cs="仿宋"/>
                <w:color w:val="000000"/>
                <w:szCs w:val="21"/>
              </w:rPr>
            </w:pPr>
            <w:r>
              <w:rPr>
                <w:rFonts w:ascii="仿宋" w:hAnsi="仿宋" w:eastAsia="仿宋" w:cs="仿宋"/>
                <w:color w:val="000000"/>
                <w:szCs w:val="21"/>
              </w:rPr>
              <w:t>项目售后服务期限自最终成果提交采购方之日起的6个月内，中标方须与采购方保持密切沟通，随时跟进项目后续的服务需求，提供相关技术支持，配合做好相关汇报工作。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其他要求</w:t>
            </w:r>
          </w:p>
        </w:tc>
        <w:tc>
          <w:tcPr>
            <w:tcW w:w="7407" w:type="dxa"/>
            <w:gridSpan w:val="4"/>
          </w:tcPr>
          <w:p>
            <w:pPr>
              <w:jc w:val="left"/>
              <w:rPr>
                <w:rFonts w:ascii="仿宋" w:hAnsi="仿宋" w:eastAsia="仿宋" w:cs="仿宋"/>
                <w:color w:val="000000"/>
                <w:kern w:val="0"/>
                <w:szCs w:val="21"/>
              </w:rPr>
            </w:pPr>
            <w:r>
              <w:rPr>
                <w:rFonts w:hint="eastAsia" w:ascii="仿宋" w:hAnsi="仿宋" w:eastAsia="仿宋" w:cs="仿宋"/>
                <w:b/>
                <w:color w:val="000000"/>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仿宋" w:hAnsi="仿宋" w:eastAsia="仿宋" w:cs="仿宋"/>
                <w:color w:val="000000"/>
                <w:kern w:val="0"/>
                <w:szCs w:val="21"/>
              </w:rPr>
            </w:pPr>
          </w:p>
        </w:tc>
        <w:tc>
          <w:tcPr>
            <w:tcW w:w="850" w:type="dxa"/>
            <w:vMerge w:val="restart"/>
          </w:tcPr>
          <w:p>
            <w:pPr>
              <w:jc w:val="left"/>
              <w:rPr>
                <w:rFonts w:ascii="仿宋" w:hAnsi="仿宋" w:eastAsia="仿宋" w:cs="仿宋"/>
                <w:bCs/>
                <w:color w:val="000000"/>
                <w:kern w:val="0"/>
                <w:szCs w:val="21"/>
              </w:rPr>
            </w:pPr>
            <w:r>
              <w:rPr>
                <w:rFonts w:hint="eastAsia" w:ascii="仿宋" w:hAnsi="仿宋" w:eastAsia="仿宋" w:cs="仿宋"/>
                <w:bCs/>
                <w:color w:val="000000"/>
                <w:szCs w:val="21"/>
              </w:rPr>
              <w:t>特定供应商</w:t>
            </w:r>
          </w:p>
        </w:tc>
        <w:tc>
          <w:tcPr>
            <w:tcW w:w="6557" w:type="dxa"/>
            <w:gridSpan w:val="3"/>
          </w:tcPr>
          <w:p>
            <w:pPr>
              <w:jc w:val="left"/>
              <w:rPr>
                <w:rFonts w:ascii="仿宋" w:hAnsi="仿宋" w:eastAsia="仿宋" w:cs="仿宋"/>
                <w:bCs/>
                <w:color w:val="000000"/>
                <w:kern w:val="0"/>
                <w:szCs w:val="21"/>
              </w:rPr>
            </w:pPr>
            <w:r>
              <w:rPr>
                <w:rFonts w:hint="eastAsia" w:ascii="仿宋" w:hAnsi="仿宋" w:eastAsia="仿宋" w:cs="仿宋"/>
                <w:bCs/>
                <w:color w:val="000000"/>
                <w:szCs w:val="21"/>
              </w:rPr>
              <w:t>单位名称：</w:t>
            </w:r>
            <w:r>
              <w:rPr>
                <w:rFonts w:hint="eastAsia" w:ascii="仿宋" w:hAnsi="仿宋" w:eastAsia="仿宋" w:cs="仿宋"/>
                <w:bCs/>
                <w:color w:val="000000"/>
                <w:szCs w:val="21"/>
                <w:lang w:eastAsia="zh-CN"/>
              </w:rPr>
              <w:t>深圳市山头火设计科技有限公司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仿宋" w:hAnsi="仿宋" w:eastAsia="仿宋" w:cs="仿宋"/>
                <w:color w:val="000000"/>
                <w:kern w:val="0"/>
                <w:szCs w:val="21"/>
              </w:rPr>
            </w:pPr>
          </w:p>
        </w:tc>
        <w:tc>
          <w:tcPr>
            <w:tcW w:w="850" w:type="dxa"/>
            <w:vMerge w:val="continue"/>
          </w:tcPr>
          <w:p>
            <w:pPr>
              <w:jc w:val="left"/>
              <w:rPr>
                <w:rFonts w:ascii="仿宋" w:hAnsi="仿宋" w:eastAsia="仿宋" w:cs="仿宋"/>
                <w:bCs/>
                <w:color w:val="000000"/>
                <w:kern w:val="0"/>
                <w:szCs w:val="21"/>
              </w:rPr>
            </w:pPr>
          </w:p>
        </w:tc>
        <w:tc>
          <w:tcPr>
            <w:tcW w:w="6557" w:type="dxa"/>
            <w:gridSpan w:val="3"/>
          </w:tcPr>
          <w:p>
            <w:pPr>
              <w:jc w:val="left"/>
              <w:rPr>
                <w:rFonts w:ascii="仿宋" w:hAnsi="仿宋" w:eastAsia="仿宋" w:cs="仿宋"/>
                <w:bCs/>
                <w:color w:val="000000"/>
                <w:kern w:val="0"/>
                <w:szCs w:val="21"/>
              </w:rPr>
            </w:pPr>
            <w:r>
              <w:rPr>
                <w:rFonts w:hint="eastAsia" w:ascii="仿宋" w:hAnsi="仿宋" w:eastAsia="仿宋" w:cs="仿宋"/>
                <w:bCs/>
                <w:color w:val="000000"/>
                <w:szCs w:val="21"/>
              </w:rPr>
              <w:t>项目负责人：</w:t>
            </w:r>
            <w:r>
              <w:rPr>
                <w:rFonts w:hint="eastAsia" w:ascii="仿宋" w:hAnsi="仿宋" w:eastAsia="仿宋" w:cs="仿宋"/>
                <w:bCs/>
                <w:color w:val="000000"/>
                <w:szCs w:val="21"/>
                <w:lang w:eastAsia="zh-CN"/>
              </w:rPr>
              <w:t>张烁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仿宋" w:hAnsi="仿宋" w:eastAsia="仿宋" w:cs="仿宋"/>
                <w:color w:val="000000"/>
                <w:kern w:val="0"/>
                <w:szCs w:val="21"/>
              </w:rPr>
            </w:pPr>
          </w:p>
        </w:tc>
        <w:tc>
          <w:tcPr>
            <w:tcW w:w="850" w:type="dxa"/>
            <w:vMerge w:val="continue"/>
          </w:tcPr>
          <w:p>
            <w:pPr>
              <w:jc w:val="left"/>
              <w:rPr>
                <w:rFonts w:ascii="仿宋" w:hAnsi="仿宋" w:eastAsia="仿宋" w:cs="仿宋"/>
                <w:bCs/>
                <w:color w:val="000000"/>
                <w:kern w:val="0"/>
                <w:szCs w:val="21"/>
              </w:rPr>
            </w:pPr>
          </w:p>
        </w:tc>
        <w:tc>
          <w:tcPr>
            <w:tcW w:w="6557" w:type="dxa"/>
            <w:gridSpan w:val="3"/>
          </w:tcPr>
          <w:p>
            <w:pPr>
              <w:pStyle w:val="3"/>
              <w:spacing w:before="78" w:beforeLines="25" w:after="78" w:afterLines="25"/>
              <w:ind w:firstLine="0"/>
              <w:rPr>
                <w:rFonts w:ascii="仿宋" w:hAnsi="仿宋" w:eastAsia="仿宋" w:cs="仿宋"/>
                <w:bCs/>
                <w:color w:val="000000"/>
                <w:kern w:val="0"/>
                <w:szCs w:val="21"/>
              </w:rPr>
            </w:pPr>
            <w:r>
              <w:rPr>
                <w:rFonts w:hint="eastAsia" w:ascii="仿宋" w:hAnsi="仿宋" w:eastAsia="仿宋" w:cs="仿宋"/>
                <w:bCs/>
                <w:color w:val="000000"/>
                <w:szCs w:val="21"/>
              </w:rPr>
              <w:t>联系电话</w:t>
            </w:r>
            <w:r>
              <w:rPr>
                <w:rFonts w:hint="eastAsia" w:ascii="仿宋" w:hAnsi="仿宋" w:eastAsia="仿宋" w:cs="仿宋"/>
                <w:bCs/>
                <w:color w:val="000000"/>
                <w:szCs w:val="21"/>
                <w:lang w:eastAsia="zh-CN"/>
              </w:rPr>
              <w:t>：</w:t>
            </w:r>
            <w:r>
              <w:rPr>
                <w:rFonts w:hint="eastAsia" w:ascii="仿宋" w:hAnsi="仿宋" w:eastAsia="仿宋" w:cs="仿宋"/>
                <w:bCs/>
                <w:color w:val="000000"/>
                <w:szCs w:val="21"/>
                <w:lang w:val="en-US" w:eastAsia="zh-CN"/>
              </w:rPr>
              <w:t>1802584****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right w:val="single" w:color="auto" w:sz="4" w:space="0"/>
            </w:tcBorders>
          </w:tcPr>
          <w:p>
            <w:pPr>
              <w:jc w:val="center"/>
              <w:rPr>
                <w:rFonts w:ascii="仿宋" w:hAnsi="仿宋" w:eastAsia="仿宋" w:cs="仿宋"/>
                <w:color w:val="000000"/>
              </w:rPr>
            </w:pPr>
            <w:r>
              <w:rPr>
                <w:rFonts w:hint="eastAsia" w:ascii="仿宋" w:hAnsi="仿宋" w:eastAsia="仿宋" w:cs="仿宋"/>
                <w:color w:val="000000"/>
              </w:rPr>
              <w:t>评标信息</w:t>
            </w:r>
          </w:p>
        </w:tc>
        <w:tc>
          <w:tcPr>
            <w:tcW w:w="7407" w:type="dxa"/>
            <w:gridSpan w:val="4"/>
            <w:tcBorders>
              <w:top w:val="single" w:color="auto" w:sz="4" w:space="0"/>
              <w:left w:val="single" w:color="auto" w:sz="4" w:space="0"/>
              <w:bottom w:val="single" w:color="auto" w:sz="4" w:space="0"/>
              <w:right w:val="single" w:color="auto" w:sz="4" w:space="0"/>
            </w:tcBorders>
          </w:tcPr>
          <w:p>
            <w:pPr>
              <w:spacing w:after="156" w:afterLines="50"/>
              <w:ind w:firstLine="33" w:firstLineChars="16"/>
              <w:jc w:val="left"/>
              <w:rPr>
                <w:rFonts w:ascii="仿宋" w:hAnsi="仿宋" w:eastAsia="仿宋" w:cs="仿宋"/>
                <w:color w:val="000000"/>
                <w:szCs w:val="21"/>
              </w:rPr>
            </w:pPr>
            <w:r>
              <w:rPr>
                <w:rFonts w:hint="eastAsia" w:ascii="仿宋" w:hAnsi="仿宋" w:eastAsia="仿宋" w:cs="仿宋"/>
                <w:color w:val="000000"/>
                <w:szCs w:val="21"/>
              </w:rPr>
              <w:t>无。</w:t>
            </w:r>
          </w:p>
        </w:tc>
      </w:tr>
    </w:tbl>
    <w:p>
      <w:pPr>
        <w:spacing w:line="360" w:lineRule="exact"/>
        <w:jc w:val="left"/>
        <w:rPr>
          <w:rFonts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ascii="仿宋" w:hAnsi="仿宋" w:eastAsia="仿宋"/>
          <w:bCs/>
          <w:color w:val="000000"/>
          <w:szCs w:val="21"/>
        </w:rPr>
      </w:pPr>
      <w:r>
        <w:rPr>
          <w:rFonts w:hint="eastAsia" w:ascii="仿宋" w:hAnsi="仿宋" w:eastAsia="仿宋"/>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ind w:firstLine="420" w:firstLineChars="200"/>
        <w:rPr>
          <w:rFonts w:ascii="仿宋" w:hAnsi="仿宋" w:eastAsia="仿宋"/>
          <w:bCs/>
          <w:color w:val="000000"/>
          <w:szCs w:val="21"/>
        </w:rPr>
      </w:pPr>
      <w:r>
        <w:rPr>
          <w:rFonts w:hint="eastAsia" w:ascii="仿宋" w:hAnsi="仿宋" w:eastAsia="仿宋"/>
          <w:bCs/>
          <w:color w:val="000000"/>
          <w:szCs w:val="21"/>
        </w:rPr>
        <w:t>3、采购单位以上填报的商务条款、技术条款若存在倾向性或不公正性条款，由此引起的不良后果将由采购单位自行承担。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CESI小标宋-GB2312">
    <w:panose1 w:val="02000500000000000000"/>
    <w:charset w:val="86"/>
    <w:family w:val="auto"/>
    <w:pitch w:val="default"/>
    <w:sig w:usb0="800002AF" w:usb1="084F6CF8" w:usb2="00000010" w:usb3="00000000" w:csb0="0004000F"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ZjhlMjhhMmQ5NzcwYmUyZjlmZDAyYzgxMjc3OTEifQ=="/>
  </w:docVars>
  <w:rsids>
    <w:rsidRoot w:val="FFD76D0C"/>
    <w:rsid w:val="00027070"/>
    <w:rsid w:val="00027F65"/>
    <w:rsid w:val="00034708"/>
    <w:rsid w:val="00063E32"/>
    <w:rsid w:val="00086A7F"/>
    <w:rsid w:val="000D02E0"/>
    <w:rsid w:val="000F2518"/>
    <w:rsid w:val="000F2E14"/>
    <w:rsid w:val="00111173"/>
    <w:rsid w:val="001747A5"/>
    <w:rsid w:val="001C3819"/>
    <w:rsid w:val="001C5422"/>
    <w:rsid w:val="001D1684"/>
    <w:rsid w:val="001D4F28"/>
    <w:rsid w:val="002C422C"/>
    <w:rsid w:val="002F0360"/>
    <w:rsid w:val="003B75B9"/>
    <w:rsid w:val="003D196B"/>
    <w:rsid w:val="0040077D"/>
    <w:rsid w:val="00411DB9"/>
    <w:rsid w:val="0046278E"/>
    <w:rsid w:val="004657F9"/>
    <w:rsid w:val="00480EE8"/>
    <w:rsid w:val="0049478F"/>
    <w:rsid w:val="004F0F85"/>
    <w:rsid w:val="005108EE"/>
    <w:rsid w:val="00516AFD"/>
    <w:rsid w:val="0055266D"/>
    <w:rsid w:val="0056220E"/>
    <w:rsid w:val="006254D7"/>
    <w:rsid w:val="006F1366"/>
    <w:rsid w:val="007177E8"/>
    <w:rsid w:val="007420AF"/>
    <w:rsid w:val="007938C2"/>
    <w:rsid w:val="007A264F"/>
    <w:rsid w:val="007A59E6"/>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C2F13"/>
    <w:rsid w:val="00FE5E94"/>
    <w:rsid w:val="02B626AB"/>
    <w:rsid w:val="035715A3"/>
    <w:rsid w:val="06AC30AF"/>
    <w:rsid w:val="070B661E"/>
    <w:rsid w:val="0F7F8FFC"/>
    <w:rsid w:val="140B7FF3"/>
    <w:rsid w:val="14237ED8"/>
    <w:rsid w:val="14445CCF"/>
    <w:rsid w:val="162670CD"/>
    <w:rsid w:val="175F50B6"/>
    <w:rsid w:val="1800599F"/>
    <w:rsid w:val="1AB95652"/>
    <w:rsid w:val="1C7E4D45"/>
    <w:rsid w:val="1E68704C"/>
    <w:rsid w:val="1F641B0F"/>
    <w:rsid w:val="207A6ACB"/>
    <w:rsid w:val="25704025"/>
    <w:rsid w:val="27A21C1E"/>
    <w:rsid w:val="289D3530"/>
    <w:rsid w:val="29246737"/>
    <w:rsid w:val="2B3F3B04"/>
    <w:rsid w:val="31B13859"/>
    <w:rsid w:val="31E63BA8"/>
    <w:rsid w:val="36365F64"/>
    <w:rsid w:val="37D1ADBB"/>
    <w:rsid w:val="37FFECEA"/>
    <w:rsid w:val="38425367"/>
    <w:rsid w:val="39FE051E"/>
    <w:rsid w:val="3BF84DE7"/>
    <w:rsid w:val="3EFA724C"/>
    <w:rsid w:val="3F5DF255"/>
    <w:rsid w:val="406F5B46"/>
    <w:rsid w:val="419D4D53"/>
    <w:rsid w:val="42090F0C"/>
    <w:rsid w:val="449735DE"/>
    <w:rsid w:val="47266DCB"/>
    <w:rsid w:val="47CF312A"/>
    <w:rsid w:val="48233465"/>
    <w:rsid w:val="48DD45D9"/>
    <w:rsid w:val="49C97A9C"/>
    <w:rsid w:val="4CF352AC"/>
    <w:rsid w:val="4DCC030B"/>
    <w:rsid w:val="4FF29064"/>
    <w:rsid w:val="519E7677"/>
    <w:rsid w:val="553755F6"/>
    <w:rsid w:val="55B15923"/>
    <w:rsid w:val="569A63F6"/>
    <w:rsid w:val="57FB3B64"/>
    <w:rsid w:val="59855157"/>
    <w:rsid w:val="59FAB7EC"/>
    <w:rsid w:val="5D6E1A8B"/>
    <w:rsid w:val="5F73F0E6"/>
    <w:rsid w:val="5F8010E3"/>
    <w:rsid w:val="5FE926EA"/>
    <w:rsid w:val="64AE5E3B"/>
    <w:rsid w:val="67363FF7"/>
    <w:rsid w:val="6E54327C"/>
    <w:rsid w:val="6F3592EA"/>
    <w:rsid w:val="72FA4DA6"/>
    <w:rsid w:val="743BBE01"/>
    <w:rsid w:val="74E7F739"/>
    <w:rsid w:val="75625322"/>
    <w:rsid w:val="76DD495A"/>
    <w:rsid w:val="77251B6B"/>
    <w:rsid w:val="77F705BD"/>
    <w:rsid w:val="77FA9395"/>
    <w:rsid w:val="7A361B91"/>
    <w:rsid w:val="7B5F95A0"/>
    <w:rsid w:val="7DFC9289"/>
    <w:rsid w:val="7DFFBAC9"/>
    <w:rsid w:val="7EC26E55"/>
    <w:rsid w:val="7EEA0760"/>
    <w:rsid w:val="7F477B83"/>
    <w:rsid w:val="8DE7A477"/>
    <w:rsid w:val="B7FE5796"/>
    <w:rsid w:val="BFBF589F"/>
    <w:rsid w:val="BFFD2304"/>
    <w:rsid w:val="DD670398"/>
    <w:rsid w:val="DF0A7441"/>
    <w:rsid w:val="E57D0AFD"/>
    <w:rsid w:val="EB3E97B7"/>
    <w:rsid w:val="ED5FCACE"/>
    <w:rsid w:val="EFDB7936"/>
    <w:rsid w:val="F3A58CE4"/>
    <w:rsid w:val="F3BFF85B"/>
    <w:rsid w:val="F6FF62F6"/>
    <w:rsid w:val="F78506F0"/>
    <w:rsid w:val="FDEB120D"/>
    <w:rsid w:val="FEAF5636"/>
    <w:rsid w:val="FEFF745A"/>
    <w:rsid w:val="FF5FD149"/>
    <w:rsid w:val="FF756E39"/>
    <w:rsid w:val="FF9FB609"/>
    <w:rsid w:val="FFCA21C8"/>
    <w:rsid w:val="FFD76D0C"/>
    <w:rsid w:val="FFFFA4D7"/>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spacing w:after="160" w:line="259" w:lineRule="auto"/>
    </w:pPr>
    <w:rPr>
      <w:rFonts w:ascii="等线" w:hAnsi="等线" w:eastAsia="等线"/>
      <w:kern w:val="0"/>
      <w:sz w:val="22"/>
    </w:rPr>
  </w:style>
  <w:style w:type="paragraph" w:styleId="5">
    <w:name w:val="Body Text"/>
    <w:basedOn w:val="1"/>
    <w:next w:val="6"/>
    <w:qFormat/>
    <w:uiPriority w:val="0"/>
    <w:pPr>
      <w:spacing w:before="61"/>
      <w:ind w:left="102"/>
    </w:pPr>
    <w:rPr>
      <w:rFonts w:ascii="宋体" w:hAnsi="宋体"/>
      <w:kern w:val="0"/>
      <w:sz w:val="28"/>
      <w:szCs w:val="28"/>
      <w:lang w:eastAsia="en-US"/>
    </w:rPr>
  </w:style>
  <w:style w:type="paragraph" w:styleId="6">
    <w:name w:val="Title"/>
    <w:basedOn w:val="1"/>
    <w:next w:val="1"/>
    <w:qFormat/>
    <w:uiPriority w:val="0"/>
    <w:pPr>
      <w:spacing w:before="240" w:after="60"/>
      <w:jc w:val="center"/>
      <w:outlineLvl w:val="0"/>
    </w:pPr>
    <w:rPr>
      <w:rFonts w:ascii="Cambria" w:hAnsi="Cambria"/>
      <w:b/>
      <w:bCs/>
    </w:rPr>
  </w:style>
  <w:style w:type="paragraph" w:styleId="7">
    <w:name w:val="Body Text Indent"/>
    <w:basedOn w:val="1"/>
    <w:next w:val="8"/>
    <w:unhideWhenUsed/>
    <w:qFormat/>
    <w:uiPriority w:val="99"/>
    <w:pPr>
      <w:spacing w:line="360" w:lineRule="auto"/>
      <w:ind w:firstLine="600" w:firstLineChars="200"/>
    </w:pPr>
    <w:rPr>
      <w:rFonts w:ascii="仿宋_GB2312" w:hAnsi="宋体" w:eastAsia="仿宋_GB2312"/>
      <w:sz w:val="30"/>
      <w:szCs w:val="32"/>
    </w:rPr>
  </w:style>
  <w:style w:type="paragraph" w:styleId="8">
    <w:name w:val="envelope return"/>
    <w:basedOn w:val="1"/>
    <w:qFormat/>
    <w:uiPriority w:val="0"/>
    <w:pPr>
      <w:snapToGrid w:val="0"/>
    </w:pPr>
    <w:rPr>
      <w:rFonts w:ascii="Arial" w:hAnsi="Arial"/>
    </w:rPr>
  </w:style>
  <w:style w:type="paragraph" w:styleId="9">
    <w:name w:val="Balloon Text"/>
    <w:basedOn w:val="1"/>
    <w:link w:val="16"/>
    <w:qFormat/>
    <w:uiPriority w:val="0"/>
    <w:rPr>
      <w:sz w:val="18"/>
      <w:szCs w:val="18"/>
    </w:rPr>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annotation reference"/>
    <w:basedOn w:val="14"/>
    <w:qFormat/>
    <w:uiPriority w:val="0"/>
    <w:rPr>
      <w:sz w:val="21"/>
      <w:szCs w:val="21"/>
    </w:rPr>
  </w:style>
  <w:style w:type="character" w:customStyle="1" w:styleId="16">
    <w:name w:val="批注框文本 字符"/>
    <w:link w:val="9"/>
    <w:qFormat/>
    <w:uiPriority w:val="0"/>
    <w:rPr>
      <w:kern w:val="2"/>
      <w:sz w:val="18"/>
      <w:szCs w:val="18"/>
    </w:rPr>
  </w:style>
  <w:style w:type="character" w:customStyle="1" w:styleId="17">
    <w:name w:val="页脚 字符"/>
    <w:link w:val="10"/>
    <w:qFormat/>
    <w:uiPriority w:val="0"/>
    <w:rPr>
      <w:kern w:val="2"/>
      <w:sz w:val="18"/>
      <w:szCs w:val="18"/>
    </w:rPr>
  </w:style>
  <w:style w:type="character" w:customStyle="1" w:styleId="18">
    <w:name w:val="页眉 字符"/>
    <w:link w:val="11"/>
    <w:qFormat/>
    <w:uiPriority w:val="0"/>
    <w:rPr>
      <w:kern w:val="2"/>
      <w:sz w:val="18"/>
      <w:szCs w:val="18"/>
    </w:rPr>
  </w:style>
  <w:style w:type="paragraph" w:customStyle="1" w:styleId="19">
    <w:name w:val="正文缩进1"/>
    <w:basedOn w:val="1"/>
    <w:qFormat/>
    <w:uiPriority w:val="0"/>
    <w:pPr>
      <w:ind w:firstLine="420" w:firstLineChars="200"/>
    </w:pPr>
  </w:style>
  <w:style w:type="paragraph" w:styleId="20">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1">
    <w:name w:val="msolistparagraph"/>
    <w:basedOn w:val="1"/>
    <w:qFormat/>
    <w:uiPriority w:val="0"/>
    <w:pPr>
      <w:ind w:firstLine="420" w:firstLineChars="200"/>
    </w:p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3419</Words>
  <Characters>3496</Characters>
  <Lines>24</Lines>
  <Paragraphs>6</Paragraphs>
  <TotalTime>23</TotalTime>
  <ScaleCrop>false</ScaleCrop>
  <LinksUpToDate>false</LinksUpToDate>
  <CharactersWithSpaces>3507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2024-12-03T21:43:00Z</dcterms:created>
  <dc:creator>qiling</dc:creator>
  <cp:lastModifiedBy>qiling</cp:lastModifiedBy>
  <cp:lastPrinted>2025-03-10T15:24:20Z</cp:lastPrinted>
  <dcterms:modified xsi:type="dcterms:W3CDTF">2025-03-10T15:26:11Z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3EC01D73B3E24E4AABE53C9C24A18832_13</vt:lpwstr>
  </property>
</Properties>
</file>