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75E80">
      <w:pPr>
        <w:keepNext w:val="0"/>
        <w:keepLines w:val="0"/>
        <w:pageBreakBefore w:val="0"/>
        <w:widowControl w:val="0"/>
        <w:kinsoku/>
        <w:overflowPunct/>
        <w:topLinePunct w:val="0"/>
        <w:autoSpaceDE/>
        <w:autoSpaceDN/>
        <w:bidi w:val="0"/>
        <w:ind w:firstLine="1928" w:firstLineChars="600"/>
        <w:jc w:val="center"/>
        <w:rPr>
          <w:rFonts w:hint="eastAsia" w:ascii="黑体" w:hAnsi="黑体" w:eastAsia="黑体" w:cs="黑体"/>
          <w:b/>
          <w:color w:val="000000"/>
          <w:sz w:val="22"/>
          <w:szCs w:val="22"/>
          <w:highlight w:val="none"/>
          <w:lang w:val="en-US" w:eastAsia="zh-CN"/>
        </w:rPr>
      </w:pPr>
      <w:r>
        <w:rPr>
          <w:rFonts w:hint="eastAsia" w:ascii="黑体" w:hAnsi="黑体" w:eastAsia="黑体" w:cs="黑体"/>
          <w:b/>
          <w:color w:val="000000"/>
          <w:sz w:val="32"/>
          <w:szCs w:val="32"/>
          <w:highlight w:val="none"/>
        </w:rPr>
        <w:t>采购需求</w:t>
      </w:r>
      <w:r>
        <w:rPr>
          <w:rFonts w:hint="eastAsia" w:ascii="黑体" w:hAnsi="黑体" w:eastAsia="黑体" w:cs="黑体"/>
          <w:b/>
          <w:color w:val="000000"/>
          <w:sz w:val="32"/>
          <w:szCs w:val="32"/>
          <w:highlight w:val="none"/>
          <w:lang w:val="en-US" w:eastAsia="zh-CN"/>
        </w:rPr>
        <w:t>书</w:t>
      </w:r>
    </w:p>
    <w:tbl>
      <w:tblPr>
        <w:tblStyle w:val="6"/>
        <w:tblW w:w="8967"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3780"/>
        <w:gridCol w:w="1366"/>
        <w:gridCol w:w="2261"/>
      </w:tblGrid>
      <w:tr w14:paraId="1AB60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noWrap w:val="0"/>
            <w:vAlign w:val="center"/>
          </w:tcPr>
          <w:p w14:paraId="1652D303">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项目名称</w:t>
            </w:r>
          </w:p>
        </w:tc>
        <w:tc>
          <w:tcPr>
            <w:tcW w:w="7407" w:type="dxa"/>
            <w:gridSpan w:val="3"/>
            <w:noWrap w:val="0"/>
            <w:vAlign w:val="center"/>
          </w:tcPr>
          <w:p w14:paraId="78316676">
            <w:pPr>
              <w:keepNext w:val="0"/>
              <w:keepLines w:val="0"/>
              <w:pageBreakBefore w:val="0"/>
              <w:widowControl w:val="0"/>
              <w:kinsoku/>
              <w:overflowPunct/>
              <w:topLinePunct w:val="0"/>
              <w:autoSpaceDE/>
              <w:autoSpaceDN/>
              <w:bidi w:val="0"/>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岗亭维护修缮工程</w:t>
            </w:r>
          </w:p>
        </w:tc>
      </w:tr>
      <w:tr w14:paraId="29522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noWrap w:val="0"/>
            <w:vAlign w:val="center"/>
          </w:tcPr>
          <w:p w14:paraId="3C9742CC">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采购人名称</w:t>
            </w:r>
          </w:p>
        </w:tc>
        <w:tc>
          <w:tcPr>
            <w:tcW w:w="3780" w:type="dxa"/>
            <w:noWrap w:val="0"/>
            <w:vAlign w:val="center"/>
          </w:tcPr>
          <w:p w14:paraId="71F6FDE8">
            <w:pPr>
              <w:keepNext w:val="0"/>
              <w:keepLines w:val="0"/>
              <w:pageBreakBefore w:val="0"/>
              <w:widowControl w:val="0"/>
              <w:kinsoku/>
              <w:overflowPunct/>
              <w:topLinePunct w:val="0"/>
              <w:autoSpaceDE/>
              <w:autoSpaceDN/>
              <w:bidi w:val="0"/>
              <w:jc w:val="center"/>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深圳大鹏半岛国家</w:t>
            </w:r>
          </w:p>
          <w:p w14:paraId="519EEA22">
            <w:pPr>
              <w:keepNext w:val="0"/>
              <w:keepLines w:val="0"/>
              <w:pageBreakBefore w:val="0"/>
              <w:widowControl w:val="0"/>
              <w:kinsoku/>
              <w:overflowPunct/>
              <w:topLinePunct w:val="0"/>
              <w:autoSpaceDE/>
              <w:autoSpaceDN/>
              <w:bidi w:val="0"/>
              <w:jc w:val="center"/>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地质自然公园管理处</w:t>
            </w:r>
          </w:p>
        </w:tc>
        <w:tc>
          <w:tcPr>
            <w:tcW w:w="1366" w:type="dxa"/>
            <w:noWrap w:val="0"/>
            <w:vAlign w:val="center"/>
          </w:tcPr>
          <w:p w14:paraId="30C4A792">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采购方式</w:t>
            </w:r>
          </w:p>
        </w:tc>
        <w:tc>
          <w:tcPr>
            <w:tcW w:w="2261" w:type="dxa"/>
            <w:noWrap w:val="0"/>
            <w:vAlign w:val="center"/>
          </w:tcPr>
          <w:p w14:paraId="2AC679BF">
            <w:pPr>
              <w:keepNext w:val="0"/>
              <w:keepLines w:val="0"/>
              <w:pageBreakBefore w:val="0"/>
              <w:widowControl w:val="0"/>
              <w:kinsoku/>
              <w:overflowPunct/>
              <w:topLinePunct w:val="0"/>
              <w:autoSpaceDE/>
              <w:autoSpaceDN/>
              <w:bidi w:val="0"/>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直接确定供应商</w:t>
            </w:r>
          </w:p>
        </w:tc>
      </w:tr>
      <w:tr w14:paraId="7A620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noWrap w:val="0"/>
            <w:vAlign w:val="center"/>
          </w:tcPr>
          <w:p w14:paraId="0DCE0314">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计划立项批文号</w:t>
            </w:r>
          </w:p>
        </w:tc>
        <w:tc>
          <w:tcPr>
            <w:tcW w:w="3780" w:type="dxa"/>
            <w:noWrap w:val="0"/>
            <w:vAlign w:val="center"/>
          </w:tcPr>
          <w:p w14:paraId="75E4B548">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bookmarkStart w:id="0" w:name="_GoBack"/>
            <w:bookmarkEnd w:id="0"/>
          </w:p>
        </w:tc>
        <w:tc>
          <w:tcPr>
            <w:tcW w:w="1366" w:type="dxa"/>
            <w:noWrap w:val="0"/>
            <w:vAlign w:val="center"/>
          </w:tcPr>
          <w:p w14:paraId="345A9330">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资金来源</w:t>
            </w:r>
          </w:p>
        </w:tc>
        <w:tc>
          <w:tcPr>
            <w:tcW w:w="2261" w:type="dxa"/>
            <w:noWrap w:val="0"/>
            <w:vAlign w:val="center"/>
          </w:tcPr>
          <w:p w14:paraId="65453C2D">
            <w:pPr>
              <w:keepNext w:val="0"/>
              <w:keepLines w:val="0"/>
              <w:pageBreakBefore w:val="0"/>
              <w:widowControl w:val="0"/>
              <w:kinsoku/>
              <w:overflowPunct/>
              <w:topLinePunct w:val="0"/>
              <w:autoSpaceDE/>
              <w:autoSpaceDN/>
              <w:bidi w:val="0"/>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部门预算</w:t>
            </w:r>
          </w:p>
        </w:tc>
      </w:tr>
      <w:tr w14:paraId="2E4E0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noWrap w:val="0"/>
            <w:vAlign w:val="center"/>
          </w:tcPr>
          <w:p w14:paraId="6C146665">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r>
              <w:rPr>
                <w:rFonts w:hint="eastAsia" w:ascii="仿宋" w:hAnsi="仿宋" w:eastAsia="仿宋" w:cs="仿宋"/>
                <w:b/>
                <w:color w:val="000000"/>
                <w:szCs w:val="21"/>
                <w:highlight w:val="none"/>
              </w:rPr>
              <w:t>*</w:t>
            </w:r>
            <w:r>
              <w:rPr>
                <w:rFonts w:hint="eastAsia" w:ascii="仿宋" w:hAnsi="仿宋" w:eastAsia="仿宋" w:cs="仿宋"/>
                <w:color w:val="000000"/>
                <w:szCs w:val="21"/>
                <w:highlight w:val="none"/>
              </w:rPr>
              <w:t>财政预算限额（元）</w:t>
            </w:r>
          </w:p>
        </w:tc>
        <w:tc>
          <w:tcPr>
            <w:tcW w:w="3780" w:type="dxa"/>
            <w:noWrap w:val="0"/>
            <w:vAlign w:val="center"/>
          </w:tcPr>
          <w:p w14:paraId="7613ECB2">
            <w:pPr>
              <w:keepNext w:val="0"/>
              <w:keepLines w:val="0"/>
              <w:pageBreakBefore w:val="0"/>
              <w:widowControl w:val="0"/>
              <w:kinsoku/>
              <w:overflowPunct/>
              <w:topLinePunct w:val="0"/>
              <w:autoSpaceDE/>
              <w:autoSpaceDN/>
              <w:bidi w:val="0"/>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150000</w:t>
            </w:r>
          </w:p>
        </w:tc>
        <w:tc>
          <w:tcPr>
            <w:tcW w:w="1366" w:type="dxa"/>
            <w:noWrap w:val="0"/>
            <w:vAlign w:val="center"/>
          </w:tcPr>
          <w:p w14:paraId="7B5242C9">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p>
        </w:tc>
        <w:tc>
          <w:tcPr>
            <w:tcW w:w="2261" w:type="dxa"/>
            <w:noWrap w:val="0"/>
            <w:vAlign w:val="center"/>
          </w:tcPr>
          <w:p w14:paraId="135C37F1">
            <w:pPr>
              <w:keepNext w:val="0"/>
              <w:keepLines w:val="0"/>
              <w:pageBreakBefore w:val="0"/>
              <w:widowControl w:val="0"/>
              <w:kinsoku/>
              <w:overflowPunct/>
              <w:topLinePunct w:val="0"/>
              <w:autoSpaceDE/>
              <w:autoSpaceDN/>
              <w:bidi w:val="0"/>
              <w:jc w:val="left"/>
              <w:rPr>
                <w:rFonts w:hint="eastAsia" w:ascii="仿宋" w:hAnsi="仿宋" w:eastAsia="仿宋" w:cs="仿宋"/>
                <w:color w:val="000000"/>
                <w:szCs w:val="21"/>
                <w:highlight w:val="none"/>
              </w:rPr>
            </w:pPr>
          </w:p>
        </w:tc>
      </w:tr>
      <w:tr w14:paraId="1833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trPr>
        <w:tc>
          <w:tcPr>
            <w:tcW w:w="1560" w:type="dxa"/>
            <w:noWrap w:val="0"/>
            <w:vAlign w:val="center"/>
          </w:tcPr>
          <w:p w14:paraId="25430823">
            <w:pPr>
              <w:keepNext w:val="0"/>
              <w:keepLines w:val="0"/>
              <w:pageBreakBefore w:val="0"/>
              <w:widowControl w:val="0"/>
              <w:kinsoku/>
              <w:overflowPunct/>
              <w:topLinePunct w:val="0"/>
              <w:autoSpaceDE/>
              <w:autoSpaceDN/>
              <w:bidi w:val="0"/>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项目简介</w:t>
            </w:r>
          </w:p>
        </w:tc>
        <w:tc>
          <w:tcPr>
            <w:tcW w:w="7407" w:type="dxa"/>
            <w:gridSpan w:val="3"/>
            <w:noWrap w:val="0"/>
            <w:vAlign w:val="center"/>
          </w:tcPr>
          <w:p w14:paraId="19CB3395">
            <w:pPr>
              <w:keepNext w:val="0"/>
              <w:keepLines w:val="0"/>
              <w:pageBreakBefore w:val="0"/>
              <w:widowControl w:val="0"/>
              <w:kinsoku/>
              <w:overflowPunct/>
              <w:topLinePunct w:val="0"/>
              <w:autoSpaceDE/>
              <w:autoSpaceDN/>
              <w:bidi w:val="0"/>
              <w:jc w:val="left"/>
              <w:rPr>
                <w:rFonts w:hint="default"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地质公园森林防火岗亭均存在不同程度的工字钢底梁锈蚀，地板方通锈穿，地板不可逆脆性破坏，外墙漆面破损、脱落等情况，存在安全隐患。现拟对地质公园除1号岗亭外的其他11个（含旧5号岗）防火岗亭室外部分开展维护修缮。</w:t>
            </w:r>
          </w:p>
        </w:tc>
      </w:tr>
      <w:tr w14:paraId="390D0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560" w:type="dxa"/>
            <w:noWrap w:val="0"/>
            <w:vAlign w:val="center"/>
          </w:tcPr>
          <w:p w14:paraId="52168C6C">
            <w:pPr>
              <w:keepNext w:val="0"/>
              <w:keepLines w:val="0"/>
              <w:pageBreakBefore w:val="0"/>
              <w:widowControl w:val="0"/>
              <w:kinsoku/>
              <w:overflowPunct/>
              <w:topLinePunct w:val="0"/>
              <w:autoSpaceDE/>
              <w:autoSpaceDN/>
              <w:bidi w:val="0"/>
              <w:jc w:val="center"/>
              <w:rPr>
                <w:rFonts w:hint="eastAsia" w:ascii="仿宋" w:hAnsi="仿宋" w:eastAsia="仿宋" w:cs="仿宋"/>
                <w:color w:val="000000"/>
                <w:szCs w:val="21"/>
                <w:highlight w:val="none"/>
              </w:rPr>
            </w:pPr>
            <w:r>
              <w:rPr>
                <w:rFonts w:hint="eastAsia" w:ascii="仿宋" w:hAnsi="仿宋" w:eastAsia="仿宋" w:cs="仿宋"/>
                <w:color w:val="000000"/>
                <w:kern w:val="0"/>
                <w:szCs w:val="21"/>
                <w:highlight w:val="none"/>
              </w:rPr>
              <w:t>投标人资质要求</w:t>
            </w:r>
          </w:p>
        </w:tc>
        <w:tc>
          <w:tcPr>
            <w:tcW w:w="7407" w:type="dxa"/>
            <w:gridSpan w:val="3"/>
            <w:noWrap w:val="0"/>
            <w:vAlign w:val="top"/>
          </w:tcPr>
          <w:p w14:paraId="3995B8E3">
            <w:pPr>
              <w:keepNext w:val="0"/>
              <w:keepLines w:val="0"/>
              <w:pageBreakBefore w:val="0"/>
              <w:widowControl w:val="0"/>
              <w:kinsoku/>
              <w:overflowPunct/>
              <w:topLinePunct w:val="0"/>
              <w:autoSpaceDE/>
              <w:autoSpaceDN/>
              <w:bidi w:val="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1）具有独立法人资格；</w:t>
            </w:r>
          </w:p>
          <w:p w14:paraId="6A0E7AD1">
            <w:pPr>
              <w:keepNext w:val="0"/>
              <w:keepLines w:val="0"/>
              <w:pageBreakBefore w:val="0"/>
              <w:widowControl w:val="0"/>
              <w:kinsoku/>
              <w:overflowPunct/>
              <w:topLinePunct w:val="0"/>
              <w:autoSpaceDE/>
              <w:autoSpaceDN/>
              <w:bidi w:val="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2）本项目不接受联合体投标，不允许分包，（不接受投标人选用进口产品参与投标）。</w:t>
            </w:r>
          </w:p>
          <w:p w14:paraId="269AF38C">
            <w:pPr>
              <w:keepNext w:val="0"/>
              <w:keepLines w:val="0"/>
              <w:pageBreakBefore w:val="0"/>
              <w:widowControl w:val="0"/>
              <w:kinsoku/>
              <w:overflowPunct/>
              <w:topLinePunct w:val="0"/>
              <w:autoSpaceDE/>
              <w:autoSpaceDN/>
              <w:bidi w:val="0"/>
              <w:jc w:val="left"/>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3）近三年内（至本项目招标公告发布之日往前算）无行贿犯罪记录。</w:t>
            </w:r>
          </w:p>
          <w:p w14:paraId="74E71A56">
            <w:pPr>
              <w:keepNext w:val="0"/>
              <w:keepLines w:val="0"/>
              <w:pageBreakBefore w:val="0"/>
              <w:widowControl w:val="0"/>
              <w:kinsoku/>
              <w:overflowPunct/>
              <w:topLinePunct w:val="0"/>
              <w:autoSpaceDE/>
              <w:autoSpaceDN/>
              <w:bidi w:val="0"/>
              <w:jc w:val="left"/>
              <w:rPr>
                <w:rFonts w:hint="eastAsia" w:ascii="仿宋" w:hAnsi="仿宋" w:eastAsia="仿宋" w:cs="仿宋"/>
                <w:b/>
                <w:color w:val="000000"/>
                <w:kern w:val="0"/>
                <w:szCs w:val="21"/>
                <w:highlight w:val="none"/>
              </w:rPr>
            </w:pPr>
            <w:r>
              <w:rPr>
                <w:rFonts w:hint="eastAsia" w:ascii="仿宋" w:hAnsi="仿宋" w:eastAsia="仿宋" w:cs="仿宋"/>
                <w:color w:val="000000"/>
                <w:kern w:val="0"/>
                <w:szCs w:val="21"/>
                <w:highlight w:val="none"/>
              </w:rPr>
              <w:t>4）建筑装饰装修工程专业承包二级或以上资质。</w:t>
            </w:r>
          </w:p>
        </w:tc>
      </w:tr>
      <w:tr w14:paraId="04BDF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1560" w:type="dxa"/>
            <w:noWrap w:val="0"/>
            <w:vAlign w:val="center"/>
          </w:tcPr>
          <w:p w14:paraId="27E68D40">
            <w:pPr>
              <w:keepNext w:val="0"/>
              <w:keepLines w:val="0"/>
              <w:pageBreakBefore w:val="0"/>
              <w:widowControl w:val="0"/>
              <w:kinsoku/>
              <w:overflowPunct/>
              <w:topLinePunct w:val="0"/>
              <w:autoSpaceDE/>
              <w:autoSpaceDN/>
              <w:bidi w:val="0"/>
              <w:jc w:val="center"/>
              <w:rPr>
                <w:rFonts w:hint="eastAsia" w:ascii="仿宋" w:hAnsi="仿宋" w:eastAsia="仿宋" w:cs="仿宋"/>
                <w:color w:val="000000"/>
                <w:kern w:val="0"/>
                <w:szCs w:val="21"/>
                <w:highlight w:val="none"/>
              </w:rPr>
            </w:pPr>
            <w:r>
              <w:rPr>
                <w:rFonts w:hint="eastAsia" w:ascii="仿宋" w:hAnsi="仿宋" w:eastAsia="仿宋" w:cs="仿宋"/>
                <w:bCs/>
                <w:color w:val="000000"/>
                <w:szCs w:val="21"/>
                <w:highlight w:val="none"/>
              </w:rPr>
              <w:t>需求内容</w:t>
            </w:r>
          </w:p>
        </w:tc>
        <w:tc>
          <w:tcPr>
            <w:tcW w:w="7407" w:type="dxa"/>
            <w:gridSpan w:val="3"/>
            <w:noWrap w:val="0"/>
            <w:vAlign w:val="center"/>
          </w:tcPr>
          <w:p w14:paraId="5E79203B">
            <w:pPr>
              <w:keepNext w:val="0"/>
              <w:keepLines w:val="0"/>
              <w:pageBreakBefore w:val="0"/>
              <w:widowControl w:val="0"/>
              <w:kinsoku/>
              <w:overflowPunct/>
              <w:topLinePunct w:val="0"/>
              <w:autoSpaceDE/>
              <w:autoSpaceDN/>
              <w:bidi w:val="0"/>
              <w:jc w:val="left"/>
              <w:rPr>
                <w:rFonts w:hint="default" w:ascii="仿宋" w:hAnsi="仿宋" w:eastAsia="仿宋" w:cs="仿宋"/>
                <w:color w:val="000000"/>
                <w:szCs w:val="21"/>
                <w:highlight w:val="none"/>
                <w:lang w:val="en-US" w:eastAsia="zh-CN"/>
              </w:rPr>
            </w:pPr>
            <w:r>
              <w:rPr>
                <w:rFonts w:hint="eastAsia" w:ascii="仿宋" w:hAnsi="仿宋" w:eastAsia="仿宋" w:cs="仿宋"/>
                <w:b/>
                <w:color w:val="000000"/>
                <w:szCs w:val="21"/>
                <w:highlight w:val="none"/>
                <w:lang w:val="en-US" w:eastAsia="zh-CN"/>
              </w:rPr>
              <w:t>详见工程量统计表</w:t>
            </w:r>
          </w:p>
        </w:tc>
      </w:tr>
      <w:tr w14:paraId="039E8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1560" w:type="dxa"/>
            <w:noWrap w:val="0"/>
            <w:vAlign w:val="center"/>
          </w:tcPr>
          <w:p w14:paraId="73EB72FD">
            <w:pPr>
              <w:keepNext w:val="0"/>
              <w:keepLines w:val="0"/>
              <w:pageBreakBefore w:val="0"/>
              <w:widowControl w:val="0"/>
              <w:kinsoku/>
              <w:overflowPunct/>
              <w:topLinePunct w:val="0"/>
              <w:autoSpaceDE/>
              <w:autoSpaceDN/>
              <w:bidi w:val="0"/>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技术需求、项目管理要求</w:t>
            </w:r>
          </w:p>
        </w:tc>
        <w:tc>
          <w:tcPr>
            <w:tcW w:w="7407" w:type="dxa"/>
            <w:gridSpan w:val="3"/>
            <w:noWrap w:val="0"/>
            <w:vAlign w:val="top"/>
          </w:tcPr>
          <w:p w14:paraId="3605C4D2">
            <w:pPr>
              <w:pStyle w:val="2"/>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1、根据地质自然公园管理处提供的设计工程量清单、现状照片及施工图等基础资料，参照国家、省市各级工程建设管理部门的法律、法规开展工作；</w:t>
            </w:r>
          </w:p>
          <w:p w14:paraId="028253AC">
            <w:pPr>
              <w:pStyle w:val="2"/>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2、根据项目的需求和相关客观条件，制订切实可行的项目施工方案及组织实施；</w:t>
            </w:r>
          </w:p>
          <w:p w14:paraId="0CA99855">
            <w:pPr>
              <w:pStyle w:val="2"/>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3、根据工作进度合理安排人员、设备，投入符合项目施工需求的技术人员数量，其专业、学历、职称、特长、项目经验等内容符合项目需求。其中,项目负责人必须具备二级或以上注册建造师（建筑工程）资格证，技术负责人要求工程相关中级以上职称，3年及以上工作经验，安全员一名必须具备建筑施工企业三类人员C证；</w:t>
            </w:r>
          </w:p>
          <w:p w14:paraId="13B8AA32">
            <w:pPr>
              <w:pStyle w:val="2"/>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4、按照《深圳大鹏半岛国家地质自然公园管理处政府采购管理制度（2025年试用版）》，并提供《政府采购投标及履约承诺函》。</w:t>
            </w:r>
          </w:p>
          <w:p w14:paraId="78BA0D3A">
            <w:pPr>
              <w:pStyle w:val="2"/>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5、施工条件及施工要求：（1）发包方不提供施工所需的食宿、办公、临设及材料加工场地，均由承包方自行解决，其费用由承包方自理；（2）施工场地内施工所需水、电、通讯等的接驳地点由承包方自行解决；（3）承包方应确保施工现场的清洁卫生，垃圾需当日清理干净，不得留在现场过夜；（4）承包方一旦进场施工，需严格遵守发包方的各项规章制度。</w:t>
            </w:r>
          </w:p>
          <w:p w14:paraId="3F745DF7">
            <w:pPr>
              <w:pStyle w:val="2"/>
              <w:ind w:firstLine="420" w:firstLineChars="200"/>
              <w:rPr>
                <w:rFonts w:hint="eastAsia" w:ascii="仿宋" w:hAnsi="仿宋" w:eastAsia="仿宋" w:cs="仿宋"/>
                <w:color w:val="000000"/>
                <w:sz w:val="21"/>
                <w:szCs w:val="21"/>
                <w:highlight w:val="none"/>
                <w:lang w:val="en-US" w:eastAsia="zh-CN"/>
              </w:rPr>
            </w:pPr>
            <w:r>
              <w:rPr>
                <w:rFonts w:hint="eastAsia" w:ascii="仿宋" w:hAnsi="仿宋" w:eastAsia="仿宋" w:cs="仿宋"/>
                <w:color w:val="000000"/>
                <w:sz w:val="21"/>
                <w:szCs w:val="21"/>
                <w:highlight w:val="none"/>
                <w:lang w:val="en-US" w:eastAsia="zh-CN"/>
              </w:rPr>
              <w:t>6、该工程保修期为2年，保修范围和保修期限内出现质量缺陷，施工单位应当履行保修义务。</w:t>
            </w:r>
          </w:p>
          <w:p w14:paraId="150AC1DB">
            <w:pPr>
              <w:pStyle w:val="2"/>
              <w:ind w:firstLine="420" w:firstLineChars="200"/>
              <w:rPr>
                <w:rFonts w:hint="eastAsia"/>
              </w:rPr>
            </w:pPr>
            <w:r>
              <w:rPr>
                <w:rFonts w:hint="eastAsia" w:ascii="仿宋" w:hAnsi="仿宋" w:eastAsia="仿宋" w:cs="仿宋"/>
                <w:color w:val="000000"/>
                <w:sz w:val="21"/>
                <w:szCs w:val="21"/>
                <w:highlight w:val="none"/>
                <w:lang w:val="en-US" w:eastAsia="zh-CN"/>
              </w:rPr>
              <w:t>7、施工期间应严格遵守森林防火等相关规定，施工时做好施工安全警示及对游客的温馨提示等安全文明措施，物品摆放要规范，不能影响游客的游园安全</w:t>
            </w:r>
          </w:p>
        </w:tc>
      </w:tr>
      <w:tr w14:paraId="2186A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4" w:hRule="atLeast"/>
        </w:trPr>
        <w:tc>
          <w:tcPr>
            <w:tcW w:w="1560" w:type="dxa"/>
            <w:noWrap w:val="0"/>
            <w:vAlign w:val="center"/>
          </w:tcPr>
          <w:p w14:paraId="34410B1A">
            <w:pPr>
              <w:keepNext w:val="0"/>
              <w:keepLines w:val="0"/>
              <w:pageBreakBefore w:val="0"/>
              <w:widowControl w:val="0"/>
              <w:kinsoku/>
              <w:overflowPunct/>
              <w:topLinePunct w:val="0"/>
              <w:autoSpaceDE/>
              <w:autoSpaceDN/>
              <w:bidi w:val="0"/>
              <w:jc w:val="center"/>
              <w:rPr>
                <w:rFonts w:hint="eastAsia" w:ascii="仿宋" w:hAnsi="仿宋" w:eastAsia="仿宋" w:cs="仿宋"/>
                <w:color w:val="000000"/>
                <w:kern w:val="0"/>
                <w:szCs w:val="21"/>
                <w:highlight w:val="none"/>
              </w:rPr>
            </w:pPr>
            <w:r>
              <w:rPr>
                <w:rFonts w:hint="eastAsia" w:ascii="仿宋" w:hAnsi="仿宋" w:eastAsia="仿宋" w:cs="仿宋"/>
                <w:color w:val="000000"/>
                <w:kern w:val="0"/>
                <w:szCs w:val="21"/>
                <w:highlight w:val="none"/>
              </w:rPr>
              <w:t>商务需求</w:t>
            </w:r>
          </w:p>
        </w:tc>
        <w:tc>
          <w:tcPr>
            <w:tcW w:w="7407" w:type="dxa"/>
            <w:gridSpan w:val="3"/>
            <w:noWrap w:val="0"/>
            <w:vAlign w:val="top"/>
          </w:tcPr>
          <w:p w14:paraId="1862E474">
            <w:pPr>
              <w:keepNext w:val="0"/>
              <w:keepLines w:val="0"/>
              <w:pageBreakBefore w:val="0"/>
              <w:widowControl w:val="0"/>
              <w:kinsoku/>
              <w:overflowPunct/>
              <w:topLinePunct w:val="0"/>
              <w:autoSpaceDE/>
              <w:autoSpaceDN/>
              <w:bidi w:val="0"/>
              <w:ind w:firstLine="205" w:firstLineChars="98"/>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一)报价方式及要求:</w:t>
            </w:r>
          </w:p>
          <w:p w14:paraId="648CE659">
            <w:pPr>
              <w:keepNext w:val="0"/>
              <w:keepLines w:val="0"/>
              <w:pageBreakBefore w:val="0"/>
              <w:widowControl w:val="0"/>
              <w:kinsoku/>
              <w:overflowPunct/>
              <w:topLinePunct w:val="0"/>
              <w:autoSpaceDE/>
              <w:autoSpaceDN/>
              <w:bidi w:val="0"/>
              <w:ind w:firstLine="415" w:firstLineChars="198"/>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1、人民币报价:本项目预算金额人民币￥</w:t>
            </w:r>
            <w:r>
              <w:rPr>
                <w:rFonts w:hint="eastAsia" w:ascii="仿宋" w:hAnsi="仿宋" w:eastAsia="仿宋" w:cs="仿宋"/>
                <w:color w:val="000000"/>
                <w:szCs w:val="21"/>
                <w:highlight w:val="none"/>
                <w:lang w:val="en-US" w:eastAsia="zh-CN"/>
              </w:rPr>
              <w:t>150000</w:t>
            </w:r>
            <w:r>
              <w:rPr>
                <w:rFonts w:hint="eastAsia" w:ascii="仿宋" w:hAnsi="仿宋" w:eastAsia="仿宋" w:cs="仿宋"/>
                <w:color w:val="000000"/>
                <w:szCs w:val="21"/>
                <w:highlight w:val="none"/>
              </w:rPr>
              <w:t>元，响应报价超过预算金额的视为无效响应，报价应当是本项目采购范围和采购文件所列的各项内容中所述的全部，不得以任何理由予以重复，且须按模块进行分项报价，并列明各块综合单价、含税总</w:t>
            </w:r>
            <w:r>
              <w:rPr>
                <w:rFonts w:hint="eastAsia" w:ascii="仿宋" w:hAnsi="仿宋" w:eastAsia="仿宋" w:cs="仿宋"/>
                <w:color w:val="000000"/>
                <w:szCs w:val="21"/>
                <w:highlight w:val="none"/>
                <w:lang w:val="en-US" w:eastAsia="zh-CN"/>
              </w:rPr>
              <w:t>价</w:t>
            </w:r>
            <w:r>
              <w:rPr>
                <w:rFonts w:hint="eastAsia" w:ascii="仿宋" w:hAnsi="仿宋" w:eastAsia="仿宋" w:cs="仿宋"/>
                <w:color w:val="000000"/>
                <w:szCs w:val="21"/>
                <w:highlight w:val="none"/>
              </w:rPr>
              <w:t>;</w:t>
            </w:r>
          </w:p>
          <w:p w14:paraId="3A90AB54">
            <w:pPr>
              <w:keepNext w:val="0"/>
              <w:keepLines w:val="0"/>
              <w:pageBreakBefore w:val="0"/>
              <w:widowControl w:val="0"/>
              <w:kinsoku/>
              <w:overflowPunct/>
              <w:topLinePunct w:val="0"/>
              <w:autoSpaceDE/>
              <w:autoSpaceDN/>
              <w:bidi w:val="0"/>
              <w:ind w:firstLine="415" w:firstLineChars="198"/>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2、投标人一经报价即代表已知悉:承包方式：本项目费用采用包干制，包括工程成本、法定税费和企业的利润等一切费用。由投标单位根据招标文件所提供的资料自行测算投标报价；一经中标，投标报价总价作为中标单位与采购单位签订的合同金额，合同期限内不做调整。</w:t>
            </w:r>
          </w:p>
          <w:p w14:paraId="4259B53A">
            <w:pPr>
              <w:keepNext w:val="0"/>
              <w:keepLines w:val="0"/>
              <w:pageBreakBefore w:val="0"/>
              <w:widowControl w:val="0"/>
              <w:kinsoku/>
              <w:overflowPunct/>
              <w:topLinePunct w:val="0"/>
              <w:autoSpaceDE/>
              <w:autoSpaceDN/>
              <w:bidi w:val="0"/>
              <w:ind w:firstLine="415" w:firstLineChars="198"/>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3、投标人不得以低于成本的价格报价</w:t>
            </w:r>
            <w:r>
              <w:rPr>
                <w:rFonts w:hint="eastAsia" w:ascii="仿宋" w:hAnsi="仿宋" w:eastAsia="仿宋" w:cs="仿宋"/>
                <w:color w:val="000000"/>
                <w:szCs w:val="21"/>
                <w:highlight w:val="none"/>
                <w:lang w:eastAsia="zh-CN"/>
              </w:rPr>
              <w:t>，</w:t>
            </w:r>
            <w:r>
              <w:rPr>
                <w:rFonts w:hint="eastAsia" w:ascii="仿宋" w:hAnsi="仿宋" w:eastAsia="仿宋" w:cs="仿宋"/>
                <w:color w:val="000000"/>
                <w:szCs w:val="21"/>
                <w:highlight w:val="none"/>
              </w:rPr>
              <w:t>投标人不能证明其报价合理性的，采购人可将其作为无效报价处理;</w:t>
            </w:r>
          </w:p>
          <w:p w14:paraId="33544B45">
            <w:pPr>
              <w:keepNext w:val="0"/>
              <w:keepLines w:val="0"/>
              <w:pageBreakBefore w:val="0"/>
              <w:widowControl w:val="0"/>
              <w:kinsoku/>
              <w:overflowPunct/>
              <w:topLinePunct w:val="0"/>
              <w:autoSpaceDE/>
              <w:autoSpaceDN/>
              <w:bidi w:val="0"/>
              <w:ind w:firstLine="415" w:firstLineChars="198"/>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4、投标人应先到项目地点踏勘以充分了解项目的位置、情况、道路及任何其它足以影响投标报价的情况，任何因忽视或误解项目情况而导致的索赔或服务期限延长申请将不获批准;</w:t>
            </w:r>
          </w:p>
          <w:p w14:paraId="5F463FDF">
            <w:pPr>
              <w:keepNext w:val="0"/>
              <w:keepLines w:val="0"/>
              <w:pageBreakBefore w:val="0"/>
              <w:widowControl w:val="0"/>
              <w:kinsoku/>
              <w:overflowPunct/>
              <w:topLinePunct w:val="0"/>
              <w:autoSpaceDE/>
              <w:autoSpaceDN/>
              <w:bidi w:val="0"/>
              <w:ind w:firstLine="415" w:firstLineChars="198"/>
              <w:jc w:val="left"/>
              <w:rPr>
                <w:rFonts w:hint="eastAsia" w:ascii="仿宋" w:hAnsi="仿宋" w:eastAsia="仿宋" w:cs="仿宋"/>
                <w:color w:val="000000"/>
                <w:szCs w:val="21"/>
                <w:highlight w:val="none"/>
              </w:rPr>
            </w:pPr>
            <w:r>
              <w:rPr>
                <w:rFonts w:hint="eastAsia" w:ascii="仿宋" w:hAnsi="仿宋" w:eastAsia="仿宋" w:cs="仿宋"/>
                <w:color w:val="000000"/>
                <w:szCs w:val="21"/>
                <w:highlight w:val="none"/>
              </w:rPr>
              <w:t>5、投标人不得期望通过索赔等方式获取补偿，否则，除可能遭到拒绝外，还可能将被作为不良行为记录在案，并可能影响其以后参加政府采购的项目投标。各投标人在投标报价时，应充分考虑投标报价的风险;</w:t>
            </w:r>
          </w:p>
          <w:p w14:paraId="688740DE">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rPr>
              <w:t>(二)</w:t>
            </w:r>
            <w:r>
              <w:rPr>
                <w:rFonts w:hint="eastAsia" w:ascii="仿宋" w:hAnsi="仿宋" w:eastAsia="仿宋" w:cs="仿宋"/>
                <w:color w:val="000000"/>
                <w:szCs w:val="21"/>
                <w:highlight w:val="none"/>
                <w:lang w:val="en-US" w:eastAsia="zh-CN"/>
              </w:rPr>
              <w:t>付款方式</w:t>
            </w:r>
          </w:p>
          <w:p w14:paraId="3F534A4B">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1、签订合同后，支付合同价的30%；</w:t>
            </w:r>
          </w:p>
          <w:p w14:paraId="3F6D2EA3">
            <w:pPr>
              <w:keepNext w:val="0"/>
              <w:keepLines w:val="0"/>
              <w:pageBreakBefore w:val="0"/>
              <w:widowControl w:val="0"/>
              <w:kinsoku/>
              <w:overflowPunct/>
              <w:topLinePunct w:val="0"/>
              <w:autoSpaceDE/>
              <w:autoSpaceDN/>
              <w:bidi w:val="0"/>
              <w:ind w:firstLine="420" w:firstLineChars="200"/>
              <w:jc w:val="left"/>
              <w:rPr>
                <w:rFonts w:hint="default"/>
                <w:lang w:val="en-US" w:eastAsia="zh-CN"/>
              </w:rPr>
            </w:pPr>
            <w:r>
              <w:rPr>
                <w:rFonts w:hint="eastAsia" w:ascii="仿宋" w:hAnsi="仿宋" w:eastAsia="仿宋" w:cs="仿宋"/>
                <w:color w:val="000000"/>
                <w:szCs w:val="21"/>
                <w:highlight w:val="none"/>
                <w:lang w:val="en-US" w:eastAsia="zh-CN"/>
              </w:rPr>
              <w:t>2、工程经结算审核，在收到承包方提供的3%合同价的质量保证金保函后（质量保证金保函时间为组织验收后一年），按审核价支付余款，总支付金额最高不超过中标价。每次支付，收到中标单位开具的有效发票后30个日历日内支付。如因政府财政拨付等原因造成支付延误，发包方不承担任何责任。</w:t>
            </w:r>
          </w:p>
          <w:p w14:paraId="56DACD91">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(三)履约保证金要求：无。</w:t>
            </w:r>
          </w:p>
          <w:p w14:paraId="0DFFD42D">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000000"/>
                <w:szCs w:val="21"/>
                <w:highlight w:val="none"/>
                <w:lang w:val="en-US" w:eastAsia="zh-CN"/>
              </w:rPr>
            </w:pPr>
            <w:r>
              <w:rPr>
                <w:rFonts w:hint="eastAsia" w:ascii="仿宋" w:hAnsi="仿宋" w:eastAsia="仿宋" w:cs="仿宋"/>
                <w:color w:val="000000"/>
                <w:szCs w:val="21"/>
                <w:highlight w:val="none"/>
                <w:lang w:val="en-US" w:eastAsia="zh-CN"/>
              </w:rPr>
              <w:t>(四)项目验收程序、质量标准及期限：详见合同约定。</w:t>
            </w:r>
          </w:p>
          <w:p w14:paraId="51DB5E8E">
            <w:pPr>
              <w:keepNext w:val="0"/>
              <w:keepLines w:val="0"/>
              <w:pageBreakBefore w:val="0"/>
              <w:widowControl w:val="0"/>
              <w:kinsoku/>
              <w:overflowPunct/>
              <w:topLinePunct w:val="0"/>
              <w:autoSpaceDE/>
              <w:autoSpaceDN/>
              <w:bidi w:val="0"/>
              <w:ind w:firstLine="420" w:firstLineChars="200"/>
              <w:jc w:val="left"/>
              <w:rPr>
                <w:rFonts w:hint="eastAsia"/>
              </w:rPr>
            </w:pPr>
            <w:r>
              <w:rPr>
                <w:rFonts w:hint="eastAsia" w:ascii="仿宋" w:hAnsi="仿宋" w:eastAsia="仿宋" w:cs="仿宋"/>
                <w:color w:val="000000"/>
                <w:szCs w:val="21"/>
                <w:highlight w:val="none"/>
                <w:lang w:val="en-US" w:eastAsia="zh-CN"/>
              </w:rPr>
              <w:t>(五)违约责任：详见合同约定。</w:t>
            </w:r>
          </w:p>
        </w:tc>
      </w:tr>
    </w:tbl>
    <w:p w14:paraId="33AAC8DF">
      <w:pPr>
        <w:pStyle w:val="3"/>
        <w:jc w:val="both"/>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B36A9"/>
    <w:rsid w:val="082C52CE"/>
    <w:rsid w:val="0858402D"/>
    <w:rsid w:val="1FB54D8F"/>
    <w:rsid w:val="23A10FAF"/>
    <w:rsid w:val="401B31E7"/>
    <w:rsid w:val="4101455B"/>
    <w:rsid w:val="4214088C"/>
    <w:rsid w:val="44F468B0"/>
    <w:rsid w:val="47F60284"/>
    <w:rsid w:val="49B73898"/>
    <w:rsid w:val="66386878"/>
    <w:rsid w:val="6BD83F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760"/>
      </w:tabs>
    </w:pPr>
    <w:rPr>
      <w:rFonts w:ascii="宋体" w:hAnsi="宋体"/>
      <w:sz w:val="28"/>
      <w:szCs w:val="20"/>
    </w:rPr>
  </w:style>
  <w:style w:type="paragraph" w:styleId="3">
    <w:name w:val="Title"/>
    <w:basedOn w:val="1"/>
    <w:next w:val="1"/>
    <w:qFormat/>
    <w:uiPriority w:val="0"/>
    <w:pPr>
      <w:spacing w:before="240" w:after="60" w:line="276" w:lineRule="auto"/>
      <w:jc w:val="center"/>
      <w:outlineLvl w:val="0"/>
    </w:pPr>
    <w:rPr>
      <w:rFonts w:ascii="Cambria" w:hAnsi="Cambria"/>
      <w:b/>
      <w:bCs/>
      <w:sz w:val="32"/>
      <w:szCs w:val="32"/>
    </w:rPr>
  </w:style>
  <w:style w:type="paragraph" w:styleId="4">
    <w:name w:val="annotation text"/>
    <w:basedOn w:val="1"/>
    <w:qFormat/>
    <w:uiPriority w:val="0"/>
    <w:pPr>
      <w:jc w:val="left"/>
    </w:pPr>
    <w:rPr>
      <w:rFonts w:ascii="Calibri" w:hAnsi="Calibri" w:cs="宋体"/>
      <w:szCs w:val="24"/>
    </w:rPr>
  </w:style>
  <w:style w:type="paragraph" w:styleId="5">
    <w:name w:val="footnote text"/>
    <w:basedOn w:val="1"/>
    <w:qFormat/>
    <w:uiPriority w:val="0"/>
    <w:pPr>
      <w:snapToGrid w:val="0"/>
      <w:jc w:val="left"/>
    </w:pPr>
    <w:rPr>
      <w:sz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1586</Words>
  <Characters>1604</Characters>
  <Lines>0</Lines>
  <Paragraphs>0</Paragraphs>
  <TotalTime>56</TotalTime>
  <ScaleCrop>false</ScaleCrop>
  <LinksUpToDate>false</LinksUpToDate>
  <CharactersWithSpaces>1604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2025-02-11T06:26:00Z</dcterms:created>
  <dc:creator>yuejie</dc:creator>
  <cp:lastModifiedBy>岳捷</cp:lastModifiedBy>
  <dcterms:modified xsi:type="dcterms:W3CDTF">2025-03-06T02:54:14Z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eyJoZGlkIjoiYzVlYjdiYTc2Mjk4ZDcxZjA0MmY2NzExNDg1M2JjM2EiLCJ1c2VySWQiOiIyMjkyMDk2ODgifQ==</vt:lpwstr>
  </property>
  <property fmtid="{D5CDD505-2E9C-101B-9397-08002B2CF9AE}" pid="4" name="ICV">
    <vt:lpwstr>925C053AF9C74835A3F2F724192AF8B3_12</vt:lpwstr>
  </property>
</Properties>
</file>