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overflowPunct/>
        <w:topLinePunct w:val="0"/>
        <w:autoSpaceDE/>
        <w:autoSpaceDN/>
        <w:bidi w:val="0"/>
        <w:jc w:val="center"/>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44"/>
          <w:szCs w:val="44"/>
          <w:highlight w:val="none"/>
        </w:rPr>
        <w:t>服务类项目采购需求</w:t>
      </w:r>
      <w:r>
        <w:rPr>
          <w:rFonts w:hint="eastAsia" w:ascii="黑体" w:hAnsi="黑体" w:eastAsia="黑体" w:cs="黑体"/>
          <w:b/>
          <w:color w:val="auto"/>
          <w:sz w:val="44"/>
          <w:szCs w:val="44"/>
          <w:highlight w:val="none"/>
          <w:lang w:eastAsia="zh-CN"/>
        </w:rPr>
        <w:t>文件</w:t>
      </w: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64"/>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b/>
                <w:color w:val="auto"/>
                <w:szCs w:val="21"/>
                <w:highlight w:val="none"/>
              </w:rPr>
              <w:t>*</w:t>
            </w:r>
            <w:r>
              <w:rPr>
                <w:rFonts w:hint="eastAsia" w:ascii="华文仿宋" w:hAnsi="华文仿宋" w:eastAsia="华文仿宋" w:cs="华文仿宋"/>
                <w:color w:val="auto"/>
                <w:szCs w:val="21"/>
                <w:highlight w:val="none"/>
              </w:rPr>
              <w:t>项目名称</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深圳市规划和自然资源局</w:t>
            </w:r>
            <w:r>
              <w:rPr>
                <w:rFonts w:hint="eastAsia" w:ascii="华文仿宋" w:hAnsi="华文仿宋" w:eastAsia="华文仿宋" w:cs="华文仿宋"/>
                <w:color w:val="auto"/>
                <w:szCs w:val="21"/>
                <w:highlight w:val="none"/>
                <w:lang w:eastAsia="zh-CN"/>
              </w:rPr>
              <w:t>光明管理局</w:t>
            </w:r>
            <w:r>
              <w:rPr>
                <w:rFonts w:hint="default" w:ascii="华文仿宋" w:hAnsi="华文仿宋" w:eastAsia="华文仿宋" w:cs="华文仿宋"/>
                <w:color w:val="auto"/>
                <w:szCs w:val="21"/>
                <w:highlight w:val="none"/>
                <w:lang w:val="en-US" w:eastAsia="zh-CN"/>
              </w:rPr>
              <w:t>赴日本、美国公务出访服务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b/>
                <w:color w:val="auto"/>
                <w:szCs w:val="21"/>
                <w:highlight w:val="none"/>
              </w:rPr>
              <w:t>*</w:t>
            </w:r>
            <w:r>
              <w:rPr>
                <w:rFonts w:hint="eastAsia" w:ascii="华文仿宋" w:hAnsi="华文仿宋" w:eastAsia="华文仿宋" w:cs="华文仿宋"/>
                <w:color w:val="auto"/>
                <w:szCs w:val="21"/>
                <w:highlight w:val="none"/>
              </w:rPr>
              <w:t>采购人名称</w:t>
            </w:r>
          </w:p>
        </w:tc>
        <w:tc>
          <w:tcPr>
            <w:tcW w:w="3594" w:type="dxa"/>
            <w:gridSpan w:val="2"/>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eastAsia="zh-CN"/>
              </w:rPr>
            </w:pPr>
            <w:r>
              <w:rPr>
                <w:rFonts w:hint="eastAsia" w:ascii="华文仿宋" w:hAnsi="华文仿宋" w:eastAsia="华文仿宋" w:cs="华文仿宋"/>
                <w:color w:val="auto"/>
                <w:szCs w:val="21"/>
                <w:highlight w:val="none"/>
                <w:lang w:eastAsia="zh-CN"/>
              </w:rPr>
              <w:t>深圳市规划和自然资源局</w:t>
            </w:r>
            <w:r>
              <w:rPr>
                <w:rFonts w:hint="eastAsia" w:ascii="华文仿宋" w:hAnsi="华文仿宋" w:eastAsia="华文仿宋" w:cs="华文仿宋"/>
                <w:color w:val="auto"/>
                <w:szCs w:val="21"/>
                <w:highlight w:val="none"/>
                <w:lang w:val="en-US" w:eastAsia="zh-CN"/>
              </w:rPr>
              <w:t>光明</w:t>
            </w:r>
            <w:r>
              <w:rPr>
                <w:rFonts w:hint="eastAsia" w:ascii="华文仿宋" w:hAnsi="华文仿宋" w:eastAsia="华文仿宋" w:cs="华文仿宋"/>
                <w:color w:val="auto"/>
                <w:szCs w:val="21"/>
                <w:highlight w:val="none"/>
                <w:lang w:eastAsia="zh-CN"/>
              </w:rPr>
              <w:t>管理局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b/>
                <w:color w:val="auto"/>
                <w:szCs w:val="21"/>
                <w:highlight w:val="none"/>
              </w:rPr>
              <w:t>*</w:t>
            </w:r>
            <w:r>
              <w:rPr>
                <w:rFonts w:hint="eastAsia" w:ascii="华文仿宋" w:hAnsi="华文仿宋" w:eastAsia="华文仿宋" w:cs="华文仿宋"/>
                <w:color w:val="auto"/>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计划立项批文号</w:t>
            </w:r>
          </w:p>
        </w:tc>
        <w:tc>
          <w:tcPr>
            <w:tcW w:w="3594" w:type="dxa"/>
            <w:gridSpan w:val="2"/>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无</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b/>
                <w:color w:val="auto"/>
                <w:szCs w:val="21"/>
                <w:highlight w:val="none"/>
              </w:rPr>
              <w:t>*</w:t>
            </w:r>
            <w:r>
              <w:rPr>
                <w:rFonts w:hint="eastAsia" w:ascii="华文仿宋" w:hAnsi="华文仿宋" w:eastAsia="华文仿宋" w:cs="华文仿宋"/>
                <w:color w:val="auto"/>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一般公共预算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b/>
                <w:color w:val="auto"/>
                <w:szCs w:val="21"/>
                <w:highlight w:val="none"/>
              </w:rPr>
              <w:t>*</w:t>
            </w:r>
            <w:r>
              <w:rPr>
                <w:rFonts w:hint="eastAsia" w:ascii="华文仿宋" w:hAnsi="华文仿宋" w:eastAsia="华文仿宋" w:cs="华文仿宋"/>
                <w:color w:val="auto"/>
                <w:szCs w:val="21"/>
                <w:highlight w:val="none"/>
              </w:rPr>
              <w:t>财政预算限额（元）</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rPr>
            </w:pPr>
            <w:r>
              <w:rPr>
                <w:rFonts w:hint="eastAsia" w:ascii="华文仿宋" w:hAnsi="华文仿宋" w:eastAsia="华文仿宋" w:cs="华文仿宋"/>
                <w:color w:val="auto"/>
                <w:szCs w:val="21"/>
                <w:highlight w:val="none"/>
                <w:lang w:val="en-US" w:eastAsia="zh-CN"/>
              </w:rPr>
              <w:t>80765.00元，大写人民币捌万零柒佰陆拾伍元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项目背景</w:t>
            </w:r>
          </w:p>
        </w:tc>
        <w:tc>
          <w:tcPr>
            <w:tcW w:w="7221" w:type="dxa"/>
            <w:gridSpan w:val="4"/>
            <w:noWrap w:val="0"/>
            <w:vAlign w:val="center"/>
          </w:tcPr>
          <w:p>
            <w:pPr>
              <w:keepNext w:val="0"/>
              <w:keepLines w:val="0"/>
              <w:pageBreakBefore w:val="0"/>
              <w:widowControl w:val="0"/>
              <w:kinsoku/>
              <w:overflowPunct/>
              <w:topLinePunct w:val="0"/>
              <w:autoSpaceDE/>
              <w:autoSpaceDN/>
              <w:bidi w:val="0"/>
              <w:ind w:firstLine="360" w:firstLineChars="200"/>
              <w:jc w:val="left"/>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 w:eastAsia="zh-CN"/>
              </w:rPr>
              <w:t>为全面落实市委市政府提出的“面向全球开展‘双招双引’”的工作部署，</w:t>
            </w:r>
            <w:r>
              <w:rPr>
                <w:rFonts w:hint="eastAsia" w:ascii="华文仿宋" w:hAnsi="华文仿宋" w:eastAsia="华文仿宋" w:cs="华文仿宋"/>
                <w:sz w:val="18"/>
                <w:szCs w:val="18"/>
                <w:lang w:val="en-US" w:eastAsia="zh-CN"/>
              </w:rPr>
              <w:t>进一步吸引和对接全球创新资源，拓展海外市场，建立更加高效的互动机制，为光明科学城引入国际科研及产业合作机构等一批代表性外资项目奠定基础，吸引全球各地的高层次人才和优质产业项目落地光明，推动高质量建设世界一流科学城，光明区委书记蔡颖于2025年3月5日—3月13日带队出访日本、美国，开展为期9天的经贸交流活动，特邀请我局党组书记、局长参加。</w:t>
            </w:r>
          </w:p>
          <w:p>
            <w:pPr>
              <w:keepNext w:val="0"/>
              <w:keepLines w:val="0"/>
              <w:pageBreakBefore w:val="0"/>
              <w:widowControl w:val="0"/>
              <w:kinsoku/>
              <w:overflowPunct/>
              <w:topLinePunct w:val="0"/>
              <w:autoSpaceDE/>
              <w:autoSpaceDN/>
              <w:bidi w:val="0"/>
              <w:ind w:firstLine="420" w:firstLineChars="200"/>
              <w:jc w:val="left"/>
              <w:rPr>
                <w:rFonts w:hint="eastAsia" w:ascii="华文仿宋" w:hAnsi="华文仿宋" w:eastAsia="华文仿宋" w:cs="华文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项目前期设计、规划论证单位</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46" w:type="dxa"/>
            <w:noWrap w:val="0"/>
            <w:vAlign w:val="center"/>
          </w:tcPr>
          <w:p>
            <w:pPr>
              <w:keepNext w:val="0"/>
              <w:keepLines w:val="0"/>
              <w:pageBreakBefore w:val="0"/>
              <w:widowControl w:val="0"/>
              <w:kinsoku/>
              <w:overflowPunct/>
              <w:topLinePunct w:val="0"/>
              <w:autoSpaceDE/>
              <w:autoSpaceDN/>
              <w:bidi w:val="0"/>
              <w:jc w:val="center"/>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kern w:val="0"/>
                <w:szCs w:val="21"/>
                <w:highlight w:val="none"/>
              </w:rPr>
              <w:t>投标人资质要求</w:t>
            </w:r>
          </w:p>
        </w:tc>
        <w:tc>
          <w:tcPr>
            <w:tcW w:w="7221" w:type="dxa"/>
            <w:gridSpan w:val="4"/>
            <w:noWrap w:val="0"/>
            <w:vAlign w:val="top"/>
          </w:tcPr>
          <w:p>
            <w:pPr>
              <w:pStyle w:val="4"/>
              <w:widowControl/>
              <w:shd w:val="clear" w:color="auto" w:fill="FFFFFF"/>
              <w:spacing w:before="0" w:beforeAutospacing="0" w:after="0" w:afterAutospacing="0" w:line="15" w:lineRule="atLeast"/>
              <w:jc w:val="both"/>
              <w:rPr>
                <w:rFonts w:hint="eastAsia" w:ascii="华文仿宋" w:hAnsi="华文仿宋" w:eastAsia="华文仿宋" w:cs="华文仿宋"/>
                <w:color w:val="auto"/>
                <w:sz w:val="18"/>
                <w:szCs w:val="18"/>
              </w:rPr>
            </w:pPr>
            <w:r>
              <w:rPr>
                <w:rFonts w:hint="eastAsia" w:ascii="华文仿宋" w:hAnsi="华文仿宋" w:eastAsia="华文仿宋" w:cs="华文仿宋"/>
                <w:color w:val="auto"/>
                <w:sz w:val="18"/>
                <w:szCs w:val="18"/>
                <w:lang w:val="en-US" w:eastAsia="zh-CN"/>
              </w:rPr>
              <w:t>1</w:t>
            </w:r>
            <w:r>
              <w:rPr>
                <w:rFonts w:hint="eastAsia" w:ascii="华文仿宋" w:hAnsi="华文仿宋" w:eastAsia="华文仿宋" w:cs="华文仿宋"/>
                <w:color w:val="auto"/>
                <w:sz w:val="18"/>
                <w:szCs w:val="18"/>
              </w:rPr>
              <w:t>）具有独立法人资格或具有独立承担民事责任的能力的其它组织（提供营业执照或事业单位法人证等法人证明扫描件）</w:t>
            </w:r>
            <w:r>
              <w:rPr>
                <w:rFonts w:hint="eastAsia" w:ascii="华文仿宋" w:hAnsi="华文仿宋" w:eastAsia="华文仿宋" w:cs="华文仿宋"/>
                <w:color w:val="auto"/>
                <w:sz w:val="18"/>
                <w:szCs w:val="18"/>
                <w:shd w:val="clear" w:color="auto" w:fill="FFFFFF"/>
              </w:rPr>
              <w:t>。</w:t>
            </w:r>
          </w:p>
          <w:p>
            <w:pPr>
              <w:pStyle w:val="4"/>
              <w:widowControl/>
              <w:shd w:val="clear" w:color="auto" w:fill="FFFFFF"/>
              <w:spacing w:before="0" w:beforeAutospacing="0" w:after="0" w:afterAutospacing="0" w:line="15" w:lineRule="atLeast"/>
              <w:jc w:val="both"/>
              <w:rPr>
                <w:rFonts w:hint="eastAsia" w:ascii="华文仿宋" w:hAnsi="华文仿宋" w:eastAsia="华文仿宋" w:cs="华文仿宋"/>
                <w:color w:val="auto"/>
                <w:sz w:val="18"/>
                <w:szCs w:val="18"/>
              </w:rPr>
            </w:pPr>
            <w:r>
              <w:rPr>
                <w:rFonts w:hint="eastAsia" w:ascii="华文仿宋" w:hAnsi="华文仿宋" w:eastAsia="华文仿宋" w:cs="华文仿宋"/>
                <w:color w:val="auto"/>
                <w:sz w:val="18"/>
                <w:szCs w:val="18"/>
                <w:shd w:val="clear" w:color="auto" w:fill="FFFFFF"/>
                <w:lang w:val="en-US" w:eastAsia="zh-CN"/>
              </w:rPr>
              <w:t>2</w:t>
            </w:r>
            <w:r>
              <w:rPr>
                <w:rFonts w:hint="eastAsia" w:ascii="华文仿宋" w:hAnsi="华文仿宋" w:eastAsia="华文仿宋" w:cs="华文仿宋"/>
                <w:color w:val="auto"/>
                <w:sz w:val="18"/>
                <w:szCs w:val="18"/>
                <w:shd w:val="clear" w:color="auto" w:fill="FFFFFF"/>
              </w:rPr>
              <w:t>）参与本项目投标前三年内，在经营活动中没有重大违法记录（由供应商在《政府采购投标及履约承诺函》中作出声明）。</w:t>
            </w:r>
          </w:p>
          <w:p>
            <w:pPr>
              <w:pStyle w:val="4"/>
              <w:widowControl/>
              <w:shd w:val="clear" w:color="auto" w:fill="FFFFFF"/>
              <w:spacing w:before="0" w:beforeAutospacing="0" w:after="0" w:afterAutospacing="0" w:line="15" w:lineRule="atLeast"/>
              <w:jc w:val="both"/>
              <w:rPr>
                <w:rFonts w:hint="eastAsia" w:ascii="华文仿宋" w:hAnsi="华文仿宋" w:eastAsia="华文仿宋" w:cs="华文仿宋"/>
                <w:color w:val="auto"/>
                <w:sz w:val="18"/>
                <w:szCs w:val="18"/>
              </w:rPr>
            </w:pPr>
            <w:r>
              <w:rPr>
                <w:rFonts w:hint="eastAsia" w:ascii="华文仿宋" w:hAnsi="华文仿宋" w:eastAsia="华文仿宋" w:cs="华文仿宋"/>
                <w:color w:val="auto"/>
                <w:sz w:val="18"/>
                <w:szCs w:val="18"/>
                <w:shd w:val="clear" w:color="auto" w:fill="FFFFFF"/>
                <w:lang w:val="en-US" w:eastAsia="zh-CN"/>
              </w:rPr>
              <w:t>3</w:t>
            </w:r>
            <w:r>
              <w:rPr>
                <w:rFonts w:hint="eastAsia" w:ascii="华文仿宋" w:hAnsi="华文仿宋" w:eastAsia="华文仿宋" w:cs="华文仿宋"/>
                <w:color w:val="auto"/>
                <w:sz w:val="18"/>
                <w:szCs w:val="18"/>
                <w:shd w:val="clear" w:color="auto" w:fill="FFFFFF"/>
              </w:rPr>
              <w:t>）参与本项目政府采购活动时不存在被有关部门禁止参与政府采购活动且在有效期内的情况（由供应商在《政府采购投标及履约承诺函》中作出声明）。</w:t>
            </w:r>
          </w:p>
          <w:p>
            <w:pPr>
              <w:pStyle w:val="4"/>
              <w:widowControl/>
              <w:shd w:val="clear" w:color="auto" w:fill="FFFFFF"/>
              <w:spacing w:before="0" w:beforeAutospacing="0" w:after="0" w:afterAutospacing="0" w:line="15" w:lineRule="atLeast"/>
              <w:jc w:val="both"/>
              <w:rPr>
                <w:rFonts w:hint="eastAsia" w:ascii="华文仿宋" w:hAnsi="华文仿宋" w:eastAsia="华文仿宋" w:cs="华文仿宋"/>
                <w:color w:val="auto"/>
                <w:sz w:val="18"/>
                <w:szCs w:val="18"/>
              </w:rPr>
            </w:pPr>
            <w:r>
              <w:rPr>
                <w:rFonts w:hint="eastAsia" w:ascii="华文仿宋" w:hAnsi="华文仿宋" w:eastAsia="华文仿宋" w:cs="华文仿宋"/>
                <w:color w:val="auto"/>
                <w:sz w:val="18"/>
                <w:szCs w:val="18"/>
                <w:shd w:val="clear" w:color="auto" w:fill="FFFFFF"/>
                <w:lang w:val="en-US" w:eastAsia="zh-CN"/>
              </w:rPr>
              <w:t>4</w:t>
            </w:r>
            <w:r>
              <w:rPr>
                <w:rFonts w:hint="eastAsia" w:ascii="华文仿宋" w:hAnsi="华文仿宋" w:eastAsia="华文仿宋" w:cs="华文仿宋"/>
                <w:color w:val="auto"/>
                <w:sz w:val="18"/>
                <w:szCs w:val="18"/>
                <w:shd w:val="clear" w:color="auto" w:fill="FFFFFF"/>
              </w:rPr>
              <w:t>）供应商未被列入失信被执行人、重大税收违法案件当事人名单、政府采购严重违法失信行为记录名单（由供应商在《政府采购投标及履约承诺函》中作出声明）。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left"/>
              <w:rPr>
                <w:rFonts w:hint="eastAsia" w:ascii="华文仿宋" w:hAnsi="华文仿宋" w:eastAsia="华文仿宋" w:cs="华文仿宋"/>
                <w:color w:val="auto"/>
                <w:sz w:val="18"/>
                <w:szCs w:val="18"/>
                <w:shd w:val="clear" w:color="auto" w:fill="FFFFFF"/>
                <w:lang w:val="en-US" w:eastAsia="zh-CN"/>
              </w:rPr>
            </w:pPr>
            <w:r>
              <w:rPr>
                <w:rFonts w:hint="eastAsia" w:ascii="华文仿宋" w:hAnsi="华文仿宋" w:eastAsia="华文仿宋" w:cs="华文仿宋"/>
                <w:color w:val="auto"/>
                <w:sz w:val="18"/>
                <w:szCs w:val="18"/>
                <w:shd w:val="clear" w:color="auto" w:fill="FFFFFF"/>
                <w:lang w:val="en-US" w:eastAsia="zh-CN"/>
              </w:rPr>
              <w:t>5</w:t>
            </w:r>
            <w:r>
              <w:rPr>
                <w:rFonts w:hint="eastAsia" w:ascii="华文仿宋" w:hAnsi="华文仿宋" w:eastAsia="华文仿宋" w:cs="华文仿宋"/>
                <w:color w:val="auto"/>
                <w:sz w:val="18"/>
                <w:szCs w:val="18"/>
                <w:shd w:val="clear" w:color="auto" w:fill="FFFFFF"/>
              </w:rPr>
              <w:t>）</w:t>
            </w:r>
            <w:r>
              <w:rPr>
                <w:rFonts w:hint="eastAsia" w:ascii="华文仿宋" w:hAnsi="华文仿宋" w:eastAsia="华文仿宋" w:cs="华文仿宋"/>
                <w:color w:val="auto"/>
                <w:sz w:val="18"/>
                <w:szCs w:val="18"/>
                <w:shd w:val="clear" w:color="auto" w:fill="FFFFFF"/>
                <w:lang w:val="en-US" w:eastAsia="zh-CN"/>
              </w:rPr>
              <w:t>具备《中华人民共和国政府采购法》第二十二条第一款的条件（由供应商在《政府采购投标及履约承诺函》中作出声明）。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left"/>
              <w:rPr>
                <w:rFonts w:hint="eastAsia" w:ascii="华文仿宋" w:hAnsi="华文仿宋" w:eastAsia="华文仿宋" w:cs="华文仿宋"/>
                <w:color w:val="auto"/>
                <w:sz w:val="18"/>
                <w:szCs w:val="18"/>
                <w:shd w:val="clear" w:color="auto" w:fill="FFFFFF"/>
              </w:rPr>
            </w:pPr>
            <w:r>
              <w:rPr>
                <w:rFonts w:hint="eastAsia" w:ascii="华文仿宋" w:hAnsi="华文仿宋" w:eastAsia="华文仿宋" w:cs="华文仿宋"/>
                <w:color w:val="auto"/>
                <w:sz w:val="18"/>
                <w:szCs w:val="18"/>
                <w:shd w:val="clear" w:color="auto" w:fill="FFFFFF"/>
                <w:lang w:val="en-US" w:eastAsia="zh-CN"/>
              </w:rPr>
              <w:t>6）</w:t>
            </w:r>
            <w:r>
              <w:rPr>
                <w:rFonts w:hint="eastAsia" w:ascii="华文仿宋" w:hAnsi="华文仿宋" w:eastAsia="华文仿宋" w:cs="华文仿宋"/>
                <w:color w:val="auto"/>
                <w:sz w:val="18"/>
                <w:szCs w:val="18"/>
                <w:shd w:val="clear" w:color="auto" w:fill="FFFFFF"/>
              </w:rPr>
              <w:t>本项目不接受联合体投标，不允许分包、转包。</w:t>
            </w:r>
          </w:p>
          <w:p>
            <w:pPr>
              <w:pStyle w:val="4"/>
              <w:keepNext w:val="0"/>
              <w:keepLines w:val="0"/>
              <w:widowControl/>
              <w:suppressLineNumbers w:val="0"/>
              <w:spacing w:before="0" w:beforeAutospacing="0" w:after="0" w:afterAutospacing="0"/>
              <w:ind w:left="0" w:right="0" w:firstLine="0"/>
            </w:pPr>
            <w:r>
              <w:rPr>
                <w:rFonts w:hint="eastAsia" w:ascii="华文仿宋" w:hAnsi="华文仿宋" w:eastAsia="华文仿宋" w:cs="华文仿宋"/>
                <w:color w:val="auto"/>
                <w:sz w:val="18"/>
                <w:szCs w:val="18"/>
                <w:shd w:val="clear" w:color="auto" w:fill="FFFFFF"/>
                <w:lang w:val="en-US" w:eastAsia="zh-CN"/>
              </w:rPr>
              <w:t>7）投标人具备国际航空运输协会认可证书资质；具有全国政府采购机票资质。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left"/>
              <w:rPr>
                <w:rFonts w:hint="eastAsia" w:ascii="华文仿宋" w:hAnsi="华文仿宋" w:eastAsia="华文仿宋" w:cs="华文仿宋"/>
                <w:color w:val="auto"/>
                <w:sz w:val="18"/>
                <w:szCs w:val="18"/>
                <w:shd w:val="clear" w:color="auto" w:fill="FFFFFF"/>
                <w:lang w:val="en-US" w:eastAsia="zh-CN"/>
              </w:rPr>
            </w:pPr>
            <w:r>
              <w:rPr>
                <w:rFonts w:hint="eastAsia" w:ascii="华文仿宋" w:hAnsi="华文仿宋" w:eastAsia="华文仿宋" w:cs="华文仿宋"/>
                <w:color w:val="auto"/>
                <w:sz w:val="18"/>
                <w:szCs w:val="18"/>
                <w:shd w:val="clear" w:color="auto" w:fill="FFFFFF"/>
                <w:lang w:val="en-US" w:eastAsia="zh-CN"/>
              </w:rPr>
              <w:t>8）投标人须签署《政府采购投标及履约承诺函》及《政府采购违法行为风险知悉确认书》，否则作废标处理。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46" w:type="dxa"/>
            <w:noWrap w:val="0"/>
            <w:vAlign w:val="center"/>
          </w:tcPr>
          <w:p>
            <w:pPr>
              <w:keepNext w:val="0"/>
              <w:keepLines w:val="0"/>
              <w:pageBreakBefore w:val="0"/>
              <w:widowControl w:val="0"/>
              <w:kinsoku/>
              <w:overflowPunct/>
              <w:topLinePunct w:val="0"/>
              <w:autoSpaceDE/>
              <w:autoSpaceDN/>
              <w:bidi w:val="0"/>
              <w:jc w:val="center"/>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bCs/>
                <w:color w:val="auto"/>
                <w:szCs w:val="21"/>
                <w:highlight w:val="none"/>
              </w:rPr>
              <w:t>需求内容</w:t>
            </w:r>
          </w:p>
        </w:tc>
        <w:tc>
          <w:tcPr>
            <w:tcW w:w="7221" w:type="dxa"/>
            <w:gridSpan w:val="4"/>
            <w:noWrap w:val="0"/>
            <w:vAlign w:val="top"/>
          </w:tcPr>
          <w:p>
            <w:pPr>
              <w:jc w:val="left"/>
              <w:rPr>
                <w:rFonts w:hint="eastAsia" w:ascii="华文仿宋" w:hAnsi="华文仿宋" w:eastAsia="华文仿宋" w:cs="华文仿宋"/>
                <w:sz w:val="18"/>
                <w:szCs w:val="18"/>
              </w:rPr>
            </w:pPr>
            <w:r>
              <w:rPr>
                <w:rFonts w:hint="eastAsia" w:ascii="华文仿宋" w:hAnsi="华文仿宋" w:eastAsia="华文仿宋" w:cs="华文仿宋"/>
                <w:b/>
                <w:sz w:val="18"/>
                <w:szCs w:val="18"/>
              </w:rPr>
              <w:t>*</w:t>
            </w:r>
            <w:r>
              <w:rPr>
                <w:rFonts w:hint="eastAsia" w:ascii="华文仿宋" w:hAnsi="华文仿宋" w:eastAsia="华文仿宋" w:cs="华文仿宋"/>
                <w:bCs/>
                <w:sz w:val="18"/>
                <w:szCs w:val="18"/>
              </w:rPr>
              <w:t>1、</w:t>
            </w:r>
            <w:r>
              <w:rPr>
                <w:rFonts w:hint="eastAsia" w:ascii="华文仿宋" w:hAnsi="华文仿宋" w:eastAsia="华文仿宋" w:cs="华文仿宋"/>
                <w:sz w:val="18"/>
                <w:szCs w:val="18"/>
              </w:rPr>
              <w:t>报价要求：投标报价已包含本项目的所有支出费用，由投标人提供报价详细清单。</w:t>
            </w:r>
          </w:p>
          <w:p>
            <w:pPr>
              <w:jc w:val="left"/>
              <w:rPr>
                <w:rFonts w:hint="eastAsia" w:ascii="华文仿宋" w:hAnsi="华文仿宋" w:eastAsia="华文仿宋" w:cs="华文仿宋"/>
                <w:sz w:val="18"/>
                <w:szCs w:val="18"/>
              </w:rPr>
            </w:pPr>
            <w:r>
              <w:rPr>
                <w:rFonts w:hint="eastAsia" w:ascii="华文仿宋" w:hAnsi="华文仿宋" w:eastAsia="华文仿宋" w:cs="华文仿宋"/>
                <w:b/>
                <w:sz w:val="18"/>
                <w:szCs w:val="18"/>
              </w:rPr>
              <w:t>*</w:t>
            </w:r>
            <w:r>
              <w:rPr>
                <w:rFonts w:hint="eastAsia" w:ascii="华文仿宋" w:hAnsi="华文仿宋" w:eastAsia="华文仿宋" w:cs="华文仿宋"/>
                <w:sz w:val="18"/>
                <w:szCs w:val="18"/>
              </w:rPr>
              <w:t>2、付款方式：详见合同。</w:t>
            </w:r>
          </w:p>
          <w:p>
            <w:pPr>
              <w:jc w:val="left"/>
              <w:rPr>
                <w:rFonts w:hint="eastAsia" w:ascii="华文仿宋" w:hAnsi="华文仿宋" w:eastAsia="华文仿宋" w:cs="华文仿宋"/>
                <w:sz w:val="18"/>
                <w:szCs w:val="18"/>
              </w:rPr>
            </w:pPr>
            <w:r>
              <w:rPr>
                <w:rFonts w:hint="eastAsia" w:ascii="华文仿宋" w:hAnsi="华文仿宋" w:eastAsia="华文仿宋" w:cs="华文仿宋"/>
                <w:b/>
                <w:sz w:val="18"/>
                <w:szCs w:val="18"/>
              </w:rPr>
              <w:t>*</w:t>
            </w:r>
            <w:r>
              <w:rPr>
                <w:rFonts w:hint="eastAsia" w:ascii="华文仿宋" w:hAnsi="华文仿宋" w:eastAsia="华文仿宋" w:cs="华文仿宋"/>
                <w:sz w:val="18"/>
                <w:szCs w:val="18"/>
              </w:rPr>
              <w:t>3、履约保证金：无。</w:t>
            </w:r>
          </w:p>
          <w:p>
            <w:pPr>
              <w:jc w:val="left"/>
              <w:rPr>
                <w:rFonts w:hint="eastAsia" w:ascii="华文仿宋" w:hAnsi="华文仿宋" w:eastAsia="华文仿宋" w:cs="华文仿宋"/>
                <w:sz w:val="18"/>
                <w:szCs w:val="18"/>
              </w:rPr>
            </w:pPr>
            <w:r>
              <w:rPr>
                <w:rFonts w:hint="eastAsia" w:ascii="华文仿宋" w:hAnsi="华文仿宋" w:eastAsia="华文仿宋" w:cs="华文仿宋"/>
                <w:b/>
                <w:sz w:val="18"/>
                <w:szCs w:val="18"/>
              </w:rPr>
              <w:t>*</w:t>
            </w:r>
            <w:r>
              <w:rPr>
                <w:rFonts w:hint="eastAsia" w:ascii="华文仿宋" w:hAnsi="华文仿宋" w:eastAsia="华文仿宋" w:cs="华文仿宋"/>
                <w:sz w:val="18"/>
                <w:szCs w:val="18"/>
              </w:rPr>
              <w:t>4、违约责任：详见合同。</w:t>
            </w:r>
          </w:p>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szCs w:val="21"/>
                <w:highlight w:val="none"/>
                <w:lang w:val="en-US" w:eastAsia="zh-CN"/>
              </w:rPr>
            </w:pPr>
            <w:r>
              <w:rPr>
                <w:rFonts w:hint="eastAsia" w:ascii="华文仿宋" w:hAnsi="华文仿宋" w:eastAsia="华文仿宋" w:cs="华文仿宋"/>
                <w:b/>
                <w:sz w:val="18"/>
                <w:szCs w:val="18"/>
              </w:rPr>
              <w:t>*</w:t>
            </w:r>
            <w:r>
              <w:rPr>
                <w:rFonts w:hint="eastAsia" w:ascii="华文仿宋" w:hAnsi="华文仿宋" w:eastAsia="华文仿宋" w:cs="华文仿宋"/>
                <w:sz w:val="18"/>
                <w:szCs w:val="18"/>
              </w:rPr>
              <w:t>5、服务质量监督和项目验收要求：详见合同。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6" w:hRule="atLeast"/>
        </w:trPr>
        <w:tc>
          <w:tcPr>
            <w:tcW w:w="1746" w:type="dxa"/>
            <w:noWrap w:val="0"/>
            <w:vAlign w:val="center"/>
          </w:tcPr>
          <w:p>
            <w:pPr>
              <w:keepNext w:val="0"/>
              <w:keepLines w:val="0"/>
              <w:pageBreakBefore w:val="0"/>
              <w:widowControl w:val="0"/>
              <w:kinsoku/>
              <w:overflowPunct/>
              <w:topLinePunct w:val="0"/>
              <w:autoSpaceDE/>
              <w:autoSpaceDN/>
              <w:bidi w:val="0"/>
              <w:jc w:val="center"/>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具体技术要求</w:t>
            </w:r>
          </w:p>
        </w:tc>
        <w:tc>
          <w:tcPr>
            <w:tcW w:w="7221" w:type="dxa"/>
            <w:gridSpan w:val="4"/>
            <w:noWrap w:val="0"/>
            <w:vAlign w:val="top"/>
          </w:tcPr>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项目内容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为全面落实市委市政府提出的“面向全球开展‘双招双引’”的工作部署，计划赴日本、美国公务出访。有关情况和需求如下：</w:t>
            </w:r>
          </w:p>
          <w:p>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（一）拟于2025年3月5日—3月13日出访日本、美国开展为期9天的经贸交流活动。</w:t>
            </w:r>
          </w:p>
          <w:p>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（二）提供因公出国访问期间的机票、酒店、餐饮、公杂、城市间交通和其他服务事项。</w:t>
            </w:r>
          </w:p>
          <w:p>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（三）需严格根据因公出国的有关文件要求，收取限额标准范围内的住宿费、伙食费、公杂费、国际旅费、国外城市间交通费和其他费用。</w:t>
            </w:r>
          </w:p>
          <w:p>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theme="minorEastAsia"/>
                <w:sz w:val="24"/>
                <w:szCs w:val="24"/>
              </w:rPr>
            </w:pPr>
            <w:r>
              <w:rPr>
                <w:rFonts w:hint="eastAsia" w:ascii="仿宋_GB2312" w:hAnsi="仿宋_GB2312" w:eastAsia="仿宋_GB2312" w:cstheme="minorEastAsia"/>
                <w:sz w:val="24"/>
                <w:szCs w:val="24"/>
                <w:lang w:eastAsia="zh-CN"/>
              </w:rPr>
              <w:t>二</w:t>
            </w:r>
            <w:r>
              <w:rPr>
                <w:rFonts w:hint="eastAsia" w:ascii="仿宋_GB2312" w:hAnsi="仿宋_GB2312" w:eastAsia="仿宋_GB2312" w:cstheme="minorEastAsia"/>
                <w:sz w:val="24"/>
                <w:szCs w:val="24"/>
              </w:rPr>
              <w:t>、费用测算：</w:t>
            </w:r>
          </w:p>
          <w:p>
            <w:pPr>
              <w:pStyle w:val="10"/>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eastAsia="zh-CN"/>
              </w:rPr>
              <w:t>以</w:t>
            </w:r>
            <w:r>
              <w:rPr>
                <w:rFonts w:hint="eastAsia" w:ascii="仿宋_GB2312" w:hAnsi="仿宋_GB2312" w:eastAsia="仿宋_GB2312" w:cstheme="minorEastAsia"/>
                <w:sz w:val="24"/>
                <w:szCs w:val="24"/>
              </w:rPr>
              <w:t>下费用根据《因公临时出国经费管理办法》、《关于调整因公临时出国住宿费标准等有关事项的通知》核算，汇率按</w:t>
            </w:r>
            <w:r>
              <w:rPr>
                <w:rFonts w:hint="eastAsia" w:ascii="仿宋_GB2312" w:hAnsi="仿宋_GB2312" w:eastAsia="仿宋_GB2312" w:cstheme="minorEastAsia"/>
                <w:sz w:val="24"/>
                <w:szCs w:val="24"/>
                <w:lang w:val="en-US" w:eastAsia="zh-CN"/>
              </w:rPr>
              <w:t>日元/人民币=1:0.05,美元/人民币= 1：7.5</w:t>
            </w:r>
            <w:r>
              <w:rPr>
                <w:rFonts w:hint="eastAsia" w:ascii="仿宋_GB2312" w:hAnsi="仿宋_GB2312" w:eastAsia="仿宋_GB2312" w:cstheme="minorEastAsia"/>
                <w:sz w:val="24"/>
                <w:szCs w:val="24"/>
                <w:lang w:eastAsia="zh-CN"/>
              </w:rPr>
              <w:t>。</w:t>
            </w:r>
          </w:p>
          <w:tbl>
            <w:tblPr>
              <w:tblStyle w:val="7"/>
              <w:tblW w:w="6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20"/>
              <w:gridCol w:w="286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spacing w:line="560" w:lineRule="exact"/>
                    <w:ind w:left="0" w:leftChars="0" w:firstLine="0" w:firstLineChars="0"/>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服务内容</w:t>
                  </w:r>
                </w:p>
              </w:tc>
              <w:tc>
                <w:tcPr>
                  <w:tcW w:w="920" w:type="dxa"/>
                </w:tcPr>
                <w:p>
                  <w:pPr>
                    <w:pStyle w:val="10"/>
                    <w:spacing w:line="560" w:lineRule="exact"/>
                    <w:ind w:left="0" w:leftChars="0" w:firstLine="0" w:firstLineChars="0"/>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数量</w:t>
                  </w:r>
                </w:p>
              </w:tc>
              <w:tc>
                <w:tcPr>
                  <w:tcW w:w="2868" w:type="dxa"/>
                </w:tcPr>
                <w:p>
                  <w:pPr>
                    <w:pStyle w:val="10"/>
                    <w:spacing w:line="560" w:lineRule="exact"/>
                    <w:ind w:firstLine="960" w:firstLineChars="400"/>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规格</w:t>
                  </w:r>
                </w:p>
              </w:tc>
              <w:tc>
                <w:tcPr>
                  <w:tcW w:w="1391" w:type="dxa"/>
                </w:tcPr>
                <w:p>
                  <w:pPr>
                    <w:pStyle w:val="10"/>
                    <w:spacing w:line="560" w:lineRule="exact"/>
                    <w:ind w:left="0" w:leftChars="0" w:firstLine="0" w:firstLineChars="0"/>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cstheme="minorEastAsia"/>
                      <w:sz w:val="24"/>
                      <w:szCs w:val="24"/>
                      <w:vertAlign w:val="baseline"/>
                      <w:lang w:eastAsia="zh-CN"/>
                    </w:rPr>
                    <w:t>预计合计（元）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仿宋_GB2312" w:hAnsi="仿宋_GB2312" w:eastAsia="仿宋_GB2312" w:cs="仿宋_GB2312"/>
                      <w:sz w:val="24"/>
                      <w:szCs w:val="24"/>
                      <w:lang w:val="en-US" w:eastAsia="zh-CN"/>
                    </w:rPr>
                    <w:t>国际旅费</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仿宋_GB2312" w:hAnsi="仿宋_GB2312" w:eastAsia="仿宋_GB2312" w:cs="仿宋_GB2312"/>
                      <w:sz w:val="24"/>
                      <w:szCs w:val="24"/>
                      <w:lang w:val="en-US" w:eastAsia="zh-CN"/>
                    </w:rPr>
                    <w:t>1</w:t>
                  </w:r>
                </w:p>
              </w:tc>
              <w:tc>
                <w:tcPr>
                  <w:tcW w:w="286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往返机票（经济舱）</w:t>
                  </w:r>
                </w:p>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kern w:val="2"/>
                      <w:sz w:val="24"/>
                      <w:szCs w:val="24"/>
                      <w:lang w:val="en-US" w:eastAsia="zh-CN" w:bidi="ar-SA"/>
                    </w:rPr>
                  </w:pP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仿宋_GB2312" w:hAnsi="仿宋_GB2312" w:eastAsia="仿宋_GB2312" w:cs="仿宋_GB2312"/>
                      <w:sz w:val="24"/>
                      <w:szCs w:val="24"/>
                      <w:lang w:val="en-US" w:eastAsia="zh-CN"/>
                    </w:rPr>
                    <w:t>58355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国外城市间交通费</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68"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日本大阪—横滨—东京城市间交通费；纽约-波士顿城市间交通费</w:t>
                  </w: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住宿费</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68"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日本大阪1晚，经费标准：18000日元/人/晚；日本东京2晚，经费标准：20000日元/人/晚；美国波士顿1晚，经费标准：230美元/人/晚；美国纽约2晚，经费标准：245美元/人/晚。</w:t>
                  </w: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伙食费</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68"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经费标准：日本10000日元/天，美国55美元/天；日本10000日元/天*3天+55美元/天*4天。</w:t>
                  </w: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公杂费</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68"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经费标准：日本5000日元/天*3天+45美元/天*4天</w:t>
                  </w: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其他费用</w:t>
                  </w:r>
                </w:p>
              </w:tc>
              <w:tc>
                <w:tcPr>
                  <w:tcW w:w="920"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68"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保险、出国签证、国际会议注册等费用。</w:t>
                  </w:r>
                </w:p>
              </w:tc>
              <w:tc>
                <w:tcPr>
                  <w:tcW w:w="1391" w:type="dxa"/>
                </w:tcPr>
                <w:p>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4360</w:t>
                  </w:r>
                </w:p>
              </w:tc>
            </w:tr>
          </w:tbl>
          <w:p>
            <w:pPr>
              <w:pStyle w:val="2"/>
              <w:rPr>
                <w:rFonts w:hint="eastAsia" w:ascii="华文仿宋" w:hAnsi="华文仿宋" w:eastAsia="华文仿宋" w:cs="华文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746" w:type="dxa"/>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商务需求</w:t>
            </w:r>
          </w:p>
        </w:tc>
        <w:tc>
          <w:tcPr>
            <w:tcW w:w="7221"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theme="minorEastAsia"/>
                <w:sz w:val="24"/>
                <w:szCs w:val="24"/>
                <w:lang w:val="en-US" w:eastAsia="zh-CN"/>
              </w:rPr>
            </w:pPr>
            <w:r>
              <w:rPr>
                <w:rFonts w:hint="eastAsia" w:ascii="仿宋_GB2312" w:hAnsi="仿宋_GB2312" w:eastAsia="仿宋_GB2312" w:cstheme="minorEastAsia"/>
                <w:sz w:val="24"/>
                <w:szCs w:val="24"/>
                <w:lang w:eastAsia="zh-CN"/>
              </w:rPr>
              <w:t>一、服务期：</w:t>
            </w:r>
            <w:r>
              <w:rPr>
                <w:rFonts w:hint="eastAsia" w:ascii="仿宋_GB2312" w:hAnsi="仿宋_GB2312" w:eastAsia="仿宋_GB2312" w:cstheme="minorEastAsia"/>
                <w:sz w:val="24"/>
                <w:szCs w:val="24"/>
                <w:lang w:val="en-US" w:eastAsia="zh-CN"/>
              </w:rPr>
              <w:t>2025年12月30日前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eastAsia="zh-CN"/>
              </w:rPr>
              <w:t>二、服务地点：日本、美国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eastAsia="zh-CN"/>
              </w:rPr>
              <w:t>三．报价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rPr>
            </w:pPr>
            <w:r>
              <w:rPr>
                <w:rFonts w:hint="eastAsia" w:ascii="仿宋_GB2312" w:hAnsi="仿宋_GB2312" w:eastAsia="仿宋_GB2312" w:cstheme="minorEastAsia"/>
                <w:sz w:val="24"/>
                <w:szCs w:val="24"/>
                <w:lang w:val="en-US" w:eastAsia="zh-CN"/>
              </w:rPr>
              <w:t>1.</w:t>
            </w:r>
            <w:r>
              <w:rPr>
                <w:rFonts w:hint="eastAsia" w:ascii="仿宋_GB2312" w:hAnsi="仿宋_GB2312" w:eastAsia="仿宋_GB2312" w:cstheme="minorEastAsia"/>
                <w:sz w:val="24"/>
                <w:szCs w:val="24"/>
              </w:rPr>
              <w:t>本项目预算金额：人民币</w:t>
            </w:r>
            <w:r>
              <w:rPr>
                <w:rFonts w:hint="eastAsia" w:ascii="仿宋_GB2312" w:hAnsi="仿宋_GB2312" w:eastAsia="仿宋_GB2312" w:cstheme="minorEastAsia"/>
                <w:sz w:val="24"/>
                <w:szCs w:val="24"/>
                <w:lang w:val="en-US" w:eastAsia="zh-CN"/>
              </w:rPr>
              <w:t>80765元</w:t>
            </w:r>
            <w:r>
              <w:rPr>
                <w:rFonts w:hint="eastAsia" w:ascii="仿宋_GB2312" w:hAnsi="仿宋_GB2312" w:eastAsia="仿宋_GB2312" w:cstheme="minorEastAsia"/>
                <w:sz w:val="24"/>
                <w:szCs w:val="24"/>
              </w:rPr>
              <w:t>，响应报价超过</w:t>
            </w:r>
            <w:r>
              <w:rPr>
                <w:rFonts w:hint="eastAsia" w:ascii="仿宋_GB2312" w:hAnsi="仿宋_GB2312" w:eastAsia="仿宋_GB2312" w:cstheme="minorEastAsia"/>
                <w:sz w:val="24"/>
                <w:szCs w:val="24"/>
                <w:lang w:eastAsia="zh-CN"/>
              </w:rPr>
              <w:t>项目</w:t>
            </w:r>
            <w:r>
              <w:rPr>
                <w:rFonts w:hint="eastAsia" w:ascii="仿宋_GB2312" w:hAnsi="仿宋_GB2312" w:eastAsia="仿宋_GB2312" w:cstheme="minorEastAsia"/>
                <w:sz w:val="24"/>
                <w:szCs w:val="24"/>
              </w:rPr>
              <w:t>预算金额的视为无效响应。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val="en-US" w:eastAsia="zh-CN"/>
              </w:rPr>
              <w:t>2.</w:t>
            </w:r>
            <w:r>
              <w:rPr>
                <w:rFonts w:hint="eastAsia" w:ascii="仿宋_GB2312" w:hAnsi="仿宋_GB2312" w:eastAsia="仿宋_GB2312" w:cstheme="minorEastAsia"/>
                <w:sz w:val="24"/>
                <w:szCs w:val="24"/>
              </w:rPr>
              <w:t>响应总价必须是完成该项目的一切费用总和</w:t>
            </w:r>
            <w:r>
              <w:rPr>
                <w:rFonts w:hint="eastAsia" w:ascii="仿宋_GB2312" w:hAnsi="仿宋_GB2312" w:eastAsia="仿宋_GB2312"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eastAsia="zh-CN"/>
              </w:rPr>
              <w:t>四、付款方式：验收合格后</w:t>
            </w:r>
            <w:r>
              <w:rPr>
                <w:rFonts w:hint="eastAsia" w:ascii="仿宋_GB2312" w:hAnsi="仿宋_GB2312" w:eastAsia="仿宋_GB2312" w:cstheme="minorEastAsia"/>
                <w:sz w:val="24"/>
                <w:szCs w:val="24"/>
                <w:lang w:val="en-US" w:eastAsia="zh-CN"/>
              </w:rPr>
              <w:t>6</w:t>
            </w:r>
            <w:r>
              <w:rPr>
                <w:rFonts w:hint="eastAsia" w:ascii="仿宋_GB2312" w:hAnsi="仿宋_GB2312" w:eastAsia="仿宋_GB2312" w:cstheme="minorEastAsia"/>
                <w:sz w:val="24"/>
                <w:szCs w:val="24"/>
                <w:lang w:eastAsia="zh-CN"/>
              </w:rPr>
              <w:t>个月内付款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theme="minorEastAsia"/>
                <w:sz w:val="24"/>
                <w:szCs w:val="24"/>
                <w:lang w:eastAsia="zh-CN"/>
              </w:rPr>
            </w:pPr>
            <w:r>
              <w:rPr>
                <w:rFonts w:hint="eastAsia" w:ascii="仿宋_GB2312" w:hAnsi="仿宋_GB2312" w:eastAsia="仿宋_GB2312" w:cstheme="minorEastAsia"/>
                <w:sz w:val="24"/>
                <w:szCs w:val="24"/>
                <w:lang w:eastAsia="zh-CN"/>
              </w:rPr>
              <w:t>五、其他</w:t>
            </w:r>
          </w:p>
          <w:p>
            <w:pPr>
              <w:jc w:val="left"/>
              <w:rPr>
                <w:rFonts w:hint="eastAsia" w:ascii="华文仿宋" w:hAnsi="华文仿宋" w:eastAsia="华文仿宋" w:cs="华文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46" w:type="dxa"/>
            <w:vMerge w:val="restart"/>
            <w:noWrap w:val="0"/>
            <w:vAlign w:val="top"/>
          </w:tcPr>
          <w:p>
            <w:pPr>
              <w:keepNext w:val="0"/>
              <w:keepLines w:val="0"/>
              <w:pageBreakBefore w:val="0"/>
              <w:widowControl w:val="0"/>
              <w:kinsoku/>
              <w:overflowPunct/>
              <w:topLinePunct w:val="0"/>
              <w:autoSpaceDE/>
              <w:autoSpaceDN/>
              <w:bidi w:val="0"/>
              <w:jc w:val="center"/>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color w:val="auto"/>
                <w:kern w:val="0"/>
                <w:szCs w:val="21"/>
                <w:highlight w:val="none"/>
              </w:rPr>
              <w:t>其他要求</w:t>
            </w:r>
          </w:p>
        </w:tc>
        <w:tc>
          <w:tcPr>
            <w:tcW w:w="7221" w:type="dxa"/>
            <w:gridSpan w:val="4"/>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kern w:val="0"/>
                <w:szCs w:val="21"/>
                <w:highlight w:val="none"/>
              </w:rPr>
            </w:pPr>
            <w:r>
              <w:rPr>
                <w:rFonts w:hint="eastAsia" w:ascii="华文仿宋" w:hAnsi="华文仿宋" w:eastAsia="华文仿宋" w:cs="华文仿宋"/>
                <w:b/>
                <w:color w:val="auto"/>
                <w:szCs w:val="21"/>
                <w:highlight w:val="none"/>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46" w:type="dxa"/>
            <w:vMerge w:val="continue"/>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kern w:val="0"/>
                <w:szCs w:val="21"/>
                <w:highlight w:val="none"/>
              </w:rPr>
            </w:pPr>
          </w:p>
        </w:tc>
        <w:tc>
          <w:tcPr>
            <w:tcW w:w="664" w:type="dxa"/>
            <w:vMerge w:val="restart"/>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bCs/>
                <w:color w:val="auto"/>
                <w:kern w:val="0"/>
                <w:szCs w:val="21"/>
                <w:highlight w:val="none"/>
              </w:rPr>
            </w:pPr>
            <w:r>
              <w:rPr>
                <w:rFonts w:hint="eastAsia" w:ascii="华文仿宋" w:hAnsi="华文仿宋" w:eastAsia="华文仿宋" w:cs="华文仿宋"/>
                <w:bCs/>
                <w:color w:val="auto"/>
                <w:szCs w:val="21"/>
                <w:highlight w:val="none"/>
              </w:rPr>
              <w:t>特定供应商</w:t>
            </w: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bCs/>
                <w:color w:val="auto"/>
                <w:kern w:val="0"/>
                <w:szCs w:val="21"/>
                <w:highlight w:val="none"/>
                <w:lang w:val="en-US" w:eastAsia="zh-CN"/>
              </w:rPr>
            </w:pPr>
            <w:r>
              <w:rPr>
                <w:rFonts w:hint="eastAsia" w:ascii="华文仿宋" w:hAnsi="华文仿宋" w:eastAsia="华文仿宋" w:cs="华文仿宋"/>
                <w:bCs/>
                <w:color w:val="auto"/>
                <w:szCs w:val="21"/>
                <w:highlight w:val="none"/>
              </w:rPr>
              <w:t>单位名称：</w:t>
            </w:r>
            <w:r>
              <w:rPr>
                <w:rFonts w:hint="eastAsia" w:ascii="华文仿宋" w:hAnsi="华文仿宋" w:eastAsia="华文仿宋" w:cs="华文仿宋"/>
                <w:bCs/>
                <w:color w:val="auto"/>
                <w:szCs w:val="21"/>
                <w:highlight w:val="none"/>
                <w:lang w:eastAsia="zh-CN"/>
              </w:rPr>
              <w:t>深圳市外事保障中心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Merge w:val="continue"/>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kern w:val="0"/>
                <w:szCs w:val="21"/>
                <w:highlight w:val="none"/>
              </w:rPr>
            </w:pPr>
          </w:p>
        </w:tc>
        <w:tc>
          <w:tcPr>
            <w:tcW w:w="664" w:type="dxa"/>
            <w:vMerge w:val="continue"/>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bCs/>
                <w:color w:val="auto"/>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bCs/>
                <w:color w:val="auto"/>
                <w:kern w:val="0"/>
                <w:szCs w:val="21"/>
                <w:highlight w:val="none"/>
                <w:lang w:val="en-US" w:eastAsia="zh-CN"/>
              </w:rPr>
            </w:pPr>
            <w:r>
              <w:rPr>
                <w:rFonts w:hint="eastAsia" w:ascii="华文仿宋" w:hAnsi="华文仿宋" w:eastAsia="华文仿宋" w:cs="华文仿宋"/>
                <w:bCs/>
                <w:color w:val="auto"/>
                <w:szCs w:val="21"/>
                <w:highlight w:val="none"/>
              </w:rPr>
              <w:t>项目经办人：</w:t>
            </w:r>
            <w:r>
              <w:rPr>
                <w:rFonts w:hint="eastAsia" w:ascii="华文仿宋" w:hAnsi="华文仿宋" w:eastAsia="华文仿宋" w:cs="华文仿宋"/>
                <w:bCs/>
                <w:color w:val="auto"/>
                <w:szCs w:val="21"/>
                <w:highlight w:val="none"/>
                <w:lang w:eastAsia="zh-CN"/>
              </w:rPr>
              <w:t>朱紫雅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46" w:type="dxa"/>
            <w:vMerge w:val="continue"/>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color w:val="auto"/>
                <w:kern w:val="0"/>
                <w:szCs w:val="21"/>
                <w:highlight w:val="none"/>
              </w:rPr>
            </w:pPr>
          </w:p>
        </w:tc>
        <w:tc>
          <w:tcPr>
            <w:tcW w:w="664" w:type="dxa"/>
            <w:vMerge w:val="continue"/>
            <w:noWrap w:val="0"/>
            <w:vAlign w:val="top"/>
          </w:tcPr>
          <w:p>
            <w:pPr>
              <w:keepNext w:val="0"/>
              <w:keepLines w:val="0"/>
              <w:pageBreakBefore w:val="0"/>
              <w:widowControl w:val="0"/>
              <w:kinsoku/>
              <w:overflowPunct/>
              <w:topLinePunct w:val="0"/>
              <w:autoSpaceDE/>
              <w:autoSpaceDN/>
              <w:bidi w:val="0"/>
              <w:jc w:val="left"/>
              <w:rPr>
                <w:rFonts w:hint="eastAsia" w:ascii="华文仿宋" w:hAnsi="华文仿宋" w:eastAsia="华文仿宋" w:cs="华文仿宋"/>
                <w:bCs/>
                <w:color w:val="auto"/>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default" w:ascii="华文仿宋" w:hAnsi="华文仿宋" w:eastAsia="华文仿宋" w:cs="华文仿宋"/>
                <w:bCs/>
                <w:color w:val="auto"/>
                <w:kern w:val="0"/>
                <w:szCs w:val="21"/>
                <w:highlight w:val="none"/>
                <w:lang w:val="en-US" w:eastAsia="zh-CN"/>
              </w:rPr>
            </w:pPr>
            <w:r>
              <w:rPr>
                <w:rFonts w:hint="eastAsia" w:ascii="华文仿宋" w:hAnsi="华文仿宋" w:eastAsia="华文仿宋" w:cs="华文仿宋"/>
                <w:bCs/>
                <w:color w:val="auto"/>
                <w:szCs w:val="21"/>
                <w:highlight w:val="none"/>
              </w:rPr>
              <w:t>联系电话：</w:t>
            </w:r>
            <w:r>
              <w:rPr>
                <w:rFonts w:hint="eastAsia" w:ascii="华文仿宋" w:hAnsi="华文仿宋" w:eastAsia="华文仿宋" w:cs="华文仿宋"/>
                <w:bCs/>
                <w:color w:val="auto"/>
                <w:szCs w:val="21"/>
                <w:highlight w:val="none"/>
                <w:lang w:val="en-US" w:eastAsia="zh-CN"/>
              </w:rPr>
              <w:t>19928755582</w:t>
            </w:r>
          </w:p>
        </w:tc>
      </w:tr>
    </w:tbl>
    <w:p>
      <w:pPr>
        <w:keepNext w:val="0"/>
        <w:keepLines w:val="0"/>
        <w:pageBreakBefore w:val="0"/>
        <w:widowControl w:val="0"/>
        <w:kinsoku/>
        <w:overflowPunct/>
        <w:topLinePunct w:val="0"/>
        <w:autoSpaceDE/>
        <w:autoSpaceDN/>
        <w:bidi w:val="0"/>
        <w:spacing w:line="360" w:lineRule="exact"/>
        <w:rPr>
          <w:rFonts w:hint="eastAsia" w:ascii="华文仿宋" w:hAnsi="华文仿宋" w:eastAsia="华文仿宋" w:cs="华文仿宋"/>
          <w:bCs/>
          <w:color w:val="auto"/>
          <w:szCs w:val="21"/>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_GBK">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BEB63"/>
    <w:multiLevelType w:val="singleLevel"/>
    <w:tmpl w:val="71FBEB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MzYyNjJkYjg3ZDVjZmE0NDk2ZGY2NjE4OGFkMGMifQ=="/>
  </w:docVars>
  <w:rsids>
    <w:rsidRoot w:val="00172A27"/>
    <w:rsid w:val="001B223C"/>
    <w:rsid w:val="012F5F9F"/>
    <w:rsid w:val="04473DB4"/>
    <w:rsid w:val="04F01EE9"/>
    <w:rsid w:val="04F27A0F"/>
    <w:rsid w:val="056921F6"/>
    <w:rsid w:val="06C21663"/>
    <w:rsid w:val="0914767F"/>
    <w:rsid w:val="093B4BC3"/>
    <w:rsid w:val="09C875A3"/>
    <w:rsid w:val="0B292074"/>
    <w:rsid w:val="0B850D5C"/>
    <w:rsid w:val="0C191BB3"/>
    <w:rsid w:val="0C6C62F9"/>
    <w:rsid w:val="0DF93BBD"/>
    <w:rsid w:val="0F6C7940"/>
    <w:rsid w:val="0FB83603"/>
    <w:rsid w:val="114C3B21"/>
    <w:rsid w:val="126935DD"/>
    <w:rsid w:val="12ED1891"/>
    <w:rsid w:val="131B2827"/>
    <w:rsid w:val="133F2861"/>
    <w:rsid w:val="13F015BE"/>
    <w:rsid w:val="1410159B"/>
    <w:rsid w:val="152466FE"/>
    <w:rsid w:val="15D1494A"/>
    <w:rsid w:val="16322B20"/>
    <w:rsid w:val="177C0275"/>
    <w:rsid w:val="17C23271"/>
    <w:rsid w:val="191D253C"/>
    <w:rsid w:val="191D561F"/>
    <w:rsid w:val="198951AA"/>
    <w:rsid w:val="1BBD6EDA"/>
    <w:rsid w:val="1C3A688F"/>
    <w:rsid w:val="205B4263"/>
    <w:rsid w:val="219D4C6A"/>
    <w:rsid w:val="23B343B6"/>
    <w:rsid w:val="23BD28EE"/>
    <w:rsid w:val="23FFC8C7"/>
    <w:rsid w:val="241606D8"/>
    <w:rsid w:val="25733DFD"/>
    <w:rsid w:val="265E387A"/>
    <w:rsid w:val="27F598BD"/>
    <w:rsid w:val="28E16C94"/>
    <w:rsid w:val="291259B4"/>
    <w:rsid w:val="29BC4456"/>
    <w:rsid w:val="2A04596B"/>
    <w:rsid w:val="2AD8258B"/>
    <w:rsid w:val="2BF12BC8"/>
    <w:rsid w:val="2C0C12C0"/>
    <w:rsid w:val="2D0B7011"/>
    <w:rsid w:val="2D881172"/>
    <w:rsid w:val="2D92241E"/>
    <w:rsid w:val="2DA523BA"/>
    <w:rsid w:val="2DAF5BEE"/>
    <w:rsid w:val="2E061C62"/>
    <w:rsid w:val="2EDC2A13"/>
    <w:rsid w:val="2FEA89CB"/>
    <w:rsid w:val="312236DF"/>
    <w:rsid w:val="313B1E8F"/>
    <w:rsid w:val="317A7CAF"/>
    <w:rsid w:val="319C46DB"/>
    <w:rsid w:val="324D7174"/>
    <w:rsid w:val="329D3EE0"/>
    <w:rsid w:val="32B07BAE"/>
    <w:rsid w:val="32D351BF"/>
    <w:rsid w:val="332901F1"/>
    <w:rsid w:val="334036E4"/>
    <w:rsid w:val="33FFEB22"/>
    <w:rsid w:val="3660007A"/>
    <w:rsid w:val="38EA5120"/>
    <w:rsid w:val="39553AED"/>
    <w:rsid w:val="39735244"/>
    <w:rsid w:val="3BB4496A"/>
    <w:rsid w:val="3DDD3BC9"/>
    <w:rsid w:val="3E8DDBC1"/>
    <w:rsid w:val="3F06588A"/>
    <w:rsid w:val="3F7A0397"/>
    <w:rsid w:val="404F36C5"/>
    <w:rsid w:val="40873BEE"/>
    <w:rsid w:val="42D502B4"/>
    <w:rsid w:val="437C611B"/>
    <w:rsid w:val="443A15F3"/>
    <w:rsid w:val="44B00772"/>
    <w:rsid w:val="44C63AF2"/>
    <w:rsid w:val="452A0B70"/>
    <w:rsid w:val="47024B89"/>
    <w:rsid w:val="4709049F"/>
    <w:rsid w:val="47290367"/>
    <w:rsid w:val="47B52FE5"/>
    <w:rsid w:val="494B2817"/>
    <w:rsid w:val="49F033BE"/>
    <w:rsid w:val="4B360C62"/>
    <w:rsid w:val="4B397CA7"/>
    <w:rsid w:val="4B73193A"/>
    <w:rsid w:val="4C544933"/>
    <w:rsid w:val="4CDE1DC7"/>
    <w:rsid w:val="4D5C3245"/>
    <w:rsid w:val="4EFF657E"/>
    <w:rsid w:val="4F41314E"/>
    <w:rsid w:val="4F7220A1"/>
    <w:rsid w:val="4FAD5FDA"/>
    <w:rsid w:val="502D711A"/>
    <w:rsid w:val="507B2EE6"/>
    <w:rsid w:val="50854860"/>
    <w:rsid w:val="512879BF"/>
    <w:rsid w:val="560674C5"/>
    <w:rsid w:val="562C657E"/>
    <w:rsid w:val="57E90669"/>
    <w:rsid w:val="58ED38EB"/>
    <w:rsid w:val="597D1178"/>
    <w:rsid w:val="59AB19CA"/>
    <w:rsid w:val="59B70326"/>
    <w:rsid w:val="5A252C10"/>
    <w:rsid w:val="5A501FEA"/>
    <w:rsid w:val="5A6A4AC7"/>
    <w:rsid w:val="5A7A2F5C"/>
    <w:rsid w:val="5BE12E76"/>
    <w:rsid w:val="5C156E9A"/>
    <w:rsid w:val="5CCF336E"/>
    <w:rsid w:val="5D9D7D78"/>
    <w:rsid w:val="5E2D4789"/>
    <w:rsid w:val="600E1ADA"/>
    <w:rsid w:val="60116111"/>
    <w:rsid w:val="60A73527"/>
    <w:rsid w:val="60B92304"/>
    <w:rsid w:val="6199628F"/>
    <w:rsid w:val="62335879"/>
    <w:rsid w:val="638D7F9D"/>
    <w:rsid w:val="64574FA4"/>
    <w:rsid w:val="64656A2B"/>
    <w:rsid w:val="64A93C89"/>
    <w:rsid w:val="662D4112"/>
    <w:rsid w:val="67B11F87"/>
    <w:rsid w:val="68556DB7"/>
    <w:rsid w:val="69765236"/>
    <w:rsid w:val="69F53DCD"/>
    <w:rsid w:val="6A072332"/>
    <w:rsid w:val="6B2C59DC"/>
    <w:rsid w:val="6B8F0DDA"/>
    <w:rsid w:val="6E757CD5"/>
    <w:rsid w:val="6EC151A6"/>
    <w:rsid w:val="6EFD67C6"/>
    <w:rsid w:val="6EFE1787"/>
    <w:rsid w:val="6F0C521B"/>
    <w:rsid w:val="6FC224C5"/>
    <w:rsid w:val="6FF84BF7"/>
    <w:rsid w:val="702F613F"/>
    <w:rsid w:val="707B75D6"/>
    <w:rsid w:val="74650381"/>
    <w:rsid w:val="74A909FF"/>
    <w:rsid w:val="77194977"/>
    <w:rsid w:val="77291B3A"/>
    <w:rsid w:val="78C6598D"/>
    <w:rsid w:val="79255191"/>
    <w:rsid w:val="79ED0CED"/>
    <w:rsid w:val="7A8C107D"/>
    <w:rsid w:val="7C816AFE"/>
    <w:rsid w:val="7D2D2F85"/>
    <w:rsid w:val="7DDFB67B"/>
    <w:rsid w:val="7DEB3451"/>
    <w:rsid w:val="7F5F826A"/>
    <w:rsid w:val="8CBFEF08"/>
    <w:rsid w:val="CD7F2CB6"/>
    <w:rsid w:val="DDDFD8AF"/>
    <w:rsid w:val="EFF36250"/>
    <w:rsid w:val="FDCFBA0E"/>
    <w:rsid w:val="FF3F7853"/>
    <w:rsid w:val="FFBB0C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61" w:beforeLines="0"/>
      <w:ind w:left="102"/>
    </w:pPr>
    <w:rPr>
      <w:rFonts w:ascii="宋体" w:hAnsi="宋体" w:eastAsia="宋体"/>
      <w:kern w:val="0"/>
      <w:sz w:val="28"/>
      <w:szCs w:val="28"/>
      <w:lang w:eastAsia="en-US"/>
    </w:rPr>
  </w:style>
  <w:style w:type="paragraph" w:styleId="3">
    <w:name w:val="annotation text"/>
    <w:basedOn w:val="1"/>
    <w:qFormat/>
    <w:uiPriority w:val="0"/>
    <w:pPr>
      <w:spacing w:after="160" w:afterLines="0" w:line="257" w:lineRule="auto"/>
    </w:pPr>
    <w:rPr>
      <w:rFonts w:ascii="等线" w:hAnsi="等线" w:eastAsia="等线" w:cs="Times New Roman"/>
      <w:kern w:val="0"/>
      <w:sz w:val="2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qFormat/>
    <w:uiPriority w:val="0"/>
    <w:pPr>
      <w:spacing w:before="240" w:beforeLines="0" w:after="60" w:afterLines="0"/>
      <w:jc w:val="center"/>
      <w:outlineLvl w:val="0"/>
    </w:pPr>
    <w:rPr>
      <w:rFonts w:ascii="Cambria" w:hAnsi="Cambria" w:eastAsia="宋体"/>
      <w:b/>
      <w:bCs/>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_GBK" w:hAnsi="?????_GBK" w:eastAsia="宋体" w:cs="?????_GBK"/>
      <w:color w:val="00000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8547</Words>
  <Characters>8789</Characters>
  <Lines>0</Lines>
  <Paragraphs>0</Paragraphs>
  <TotalTime>1</TotalTime>
  <ScaleCrop>false</ScaleCrop>
  <LinksUpToDate>false</LinksUpToDate>
  <CharactersWithSpaces>8886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gm</cp:lastModifiedBy>
  <cp:lastPrinted>2024-08-07T16:07:00Z</cp:lastPrinted>
  <dcterms:modified xsi:type="dcterms:W3CDTF">2025-02-27T14:26:13Z</dcterms:modified>
  <dc:title>服务类项目采购需求模板（通用）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092CDCA3E7D8475195457EBBA7436C9C_13</vt:lpwstr>
  </property>
</Properties>
</file>