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numPr>
          <w:ilvl w:val="1"/>
          <w:numId w:val="0"/>
        </w:numPr>
        <w:kinsoku/>
        <w:wordWrap/>
        <w:overflowPunct/>
        <w:topLinePunct w:val="0"/>
        <w:autoSpaceDE/>
        <w:autoSpaceDN/>
        <w:bidi w:val="0"/>
        <w:adjustRightInd/>
        <w:snapToGrid w:val="0"/>
        <w:spacing w:before="0" w:beforeLines="-2147483648" w:beforeAutospacing="0" w:after="0" w:afterLines="-2147483648" w:afterAutospacing="0" w:line="360" w:lineRule="auto"/>
        <w:ind w:leftChars="0"/>
        <w:jc w:val="center"/>
        <w:textAlignment w:val="auto"/>
        <w:outlineLvl w:val="9"/>
        <w:rPr>
          <w:rFonts w:hint="eastAsia" w:ascii="黑体" w:hAnsi="黑体" w:eastAsia="黑体" w:cs="黑体"/>
          <w:b/>
          <w:bCs w:val="0"/>
          <w:color w:val="auto"/>
          <w:kern w:val="2"/>
          <w:sz w:val="36"/>
          <w:szCs w:val="36"/>
          <w:lang w:val="en-US" w:eastAsia="zh-CN"/>
        </w:rPr>
      </w:pPr>
      <w:r>
        <w:rPr>
          <w:rFonts w:hint="eastAsia" w:ascii="黑体" w:hAnsi="黑体" w:eastAsia="黑体" w:cs="黑体"/>
          <w:b/>
          <w:bCs w:val="0"/>
          <w:color w:val="auto"/>
          <w:kern w:val="2"/>
          <w:sz w:val="36"/>
          <w:szCs w:val="36"/>
          <w:lang w:val="en-US" w:eastAsia="zh-CN"/>
        </w:rPr>
        <w:t>《海洋自然资源资产核算技术规范（征求意见稿）》</w:t>
      </w:r>
    </w:p>
    <w:p>
      <w:pPr>
        <w:keepNext/>
        <w:keepLines/>
        <w:pageBreakBefore w:val="0"/>
        <w:widowControl w:val="0"/>
        <w:numPr>
          <w:ilvl w:val="1"/>
          <w:numId w:val="0"/>
        </w:numPr>
        <w:kinsoku/>
        <w:wordWrap/>
        <w:overflowPunct/>
        <w:topLinePunct w:val="0"/>
        <w:autoSpaceDE/>
        <w:autoSpaceDN/>
        <w:bidi w:val="0"/>
        <w:adjustRightInd/>
        <w:snapToGrid w:val="0"/>
        <w:spacing w:before="0" w:beforeLines="-2147483648" w:beforeAutospacing="0" w:after="0" w:afterLines="-2147483648" w:afterAutospacing="0" w:line="360" w:lineRule="auto"/>
        <w:ind w:leftChars="0"/>
        <w:jc w:val="center"/>
        <w:textAlignment w:val="auto"/>
        <w:outlineLvl w:val="9"/>
        <w:rPr>
          <w:rFonts w:hint="eastAsia" w:ascii="黑体" w:hAnsi="黑体" w:eastAsia="黑体" w:cs="黑体"/>
          <w:b/>
          <w:bCs w:val="0"/>
          <w:color w:val="auto"/>
          <w:kern w:val="2"/>
          <w:sz w:val="36"/>
          <w:szCs w:val="36"/>
          <w:lang w:val="en-US" w:eastAsia="zh-CN"/>
        </w:rPr>
      </w:pPr>
      <w:r>
        <w:rPr>
          <w:rFonts w:hint="eastAsia" w:ascii="黑体" w:hAnsi="黑体" w:eastAsia="黑体" w:cs="黑体"/>
          <w:b/>
          <w:bCs w:val="0"/>
          <w:color w:val="auto"/>
          <w:kern w:val="2"/>
          <w:sz w:val="36"/>
          <w:szCs w:val="36"/>
          <w:lang w:val="en-US" w:eastAsia="zh-CN"/>
        </w:rPr>
        <w:t>编制说明</w:t>
      </w:r>
    </w:p>
    <w:p>
      <w:pPr>
        <w:pStyle w:val="2"/>
        <w:widowControl w:val="0"/>
        <w:spacing w:before="160" w:beforeLines="-2147483648" w:beforeAutospacing="0" w:after="160" w:afterLines="-2147483648" w:afterAutospacing="0" w:line="240" w:lineRule="auto"/>
        <w:ind w:left="0"/>
        <w:rPr>
          <w:rFonts w:hint="eastAsia" w:ascii="黑体" w:hAnsi="黑体" w:eastAsia="黑体" w:cs="黑体"/>
          <w:b/>
          <w:bCs/>
          <w:color w:val="auto"/>
          <w:sz w:val="32"/>
          <w:szCs w:val="44"/>
          <w:lang w:val="en-US" w:eastAsia="zh-CN"/>
        </w:rPr>
      </w:pPr>
      <w:r>
        <w:rPr>
          <w:rFonts w:hint="eastAsia" w:ascii="黑体" w:hAnsi="黑体" w:eastAsia="黑体" w:cs="黑体"/>
          <w:b/>
          <w:bCs/>
          <w:color w:val="auto"/>
          <w:sz w:val="32"/>
          <w:szCs w:val="44"/>
          <w:lang w:val="en-US" w:eastAsia="zh-CN"/>
        </w:rPr>
        <w:t>项目背景</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国内现行相关法律法规和标准情况</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FF"/>
          <w:kern w:val="2"/>
          <w:sz w:val="28"/>
          <w:szCs w:val="28"/>
          <w:lang w:val="en-US" w:eastAsia="zh-CN" w:bidi="ar-SA"/>
        </w:rPr>
      </w:pPr>
      <w:r>
        <w:rPr>
          <w:rFonts w:hint="eastAsia" w:ascii="宋体" w:hAnsi="宋体" w:eastAsia="宋体" w:cs="宋体"/>
          <w:color w:val="auto"/>
          <w:kern w:val="2"/>
          <w:sz w:val="28"/>
          <w:szCs w:val="28"/>
          <w:lang w:val="en-US" w:eastAsia="zh-CN" w:bidi="ar-SA"/>
        </w:rPr>
        <w:t>2015年9月，</w:t>
      </w:r>
      <w:r>
        <w:rPr>
          <w:rFonts w:hint="default" w:ascii="宋体" w:hAnsi="宋体" w:eastAsia="宋体" w:cs="宋体"/>
          <w:color w:val="auto"/>
          <w:kern w:val="2"/>
          <w:sz w:val="28"/>
          <w:szCs w:val="28"/>
          <w:lang w:val="en-US" w:eastAsia="zh-CN" w:bidi="ar-SA"/>
        </w:rPr>
        <w:t>中共中</w:t>
      </w:r>
      <w:r>
        <w:rPr>
          <w:rFonts w:hint="default" w:ascii="宋体" w:hAnsi="宋体" w:eastAsia="宋体" w:cs="宋体"/>
          <w:color w:val="000000" w:themeColor="text1"/>
          <w:kern w:val="2"/>
          <w:sz w:val="28"/>
          <w:szCs w:val="28"/>
          <w:lang w:val="en-US" w:eastAsia="zh-CN" w:bidi="ar-SA"/>
          <w14:textFill>
            <w14:solidFill>
              <w14:schemeClr w14:val="tx1"/>
            </w14:solidFill>
          </w14:textFill>
        </w:rPr>
        <w:t>央</w:t>
      </w:r>
      <w:r>
        <w:rPr>
          <w:rFonts w:hint="eastAsia" w:cs="宋体"/>
          <w:color w:val="000000" w:themeColor="text1"/>
          <w:kern w:val="2"/>
          <w:sz w:val="28"/>
          <w:szCs w:val="28"/>
          <w:lang w:val="en-US" w:eastAsia="zh-CN" w:bidi="ar-SA"/>
          <w14:textFill>
            <w14:solidFill>
              <w14:schemeClr w14:val="tx1"/>
            </w14:solidFill>
          </w14:textFill>
        </w:rPr>
        <w:t>、</w:t>
      </w:r>
      <w:r>
        <w:rPr>
          <w:rFonts w:hint="default" w:ascii="宋体" w:hAnsi="宋体" w:eastAsia="宋体" w:cs="宋体"/>
          <w:color w:val="000000" w:themeColor="text1"/>
          <w:kern w:val="2"/>
          <w:sz w:val="28"/>
          <w:szCs w:val="28"/>
          <w:lang w:val="en-US" w:eastAsia="zh-CN" w:bidi="ar-SA"/>
          <w14:textFill>
            <w14:solidFill>
              <w14:schemeClr w14:val="tx1"/>
            </w14:solidFill>
          </w14:textFill>
        </w:rPr>
        <w:t>国务</w:t>
      </w:r>
      <w:r>
        <w:rPr>
          <w:rFonts w:hint="default" w:ascii="宋体" w:hAnsi="宋体" w:eastAsia="宋体" w:cs="宋体"/>
          <w:color w:val="auto"/>
          <w:kern w:val="2"/>
          <w:sz w:val="28"/>
          <w:szCs w:val="28"/>
          <w:lang w:val="en-US" w:eastAsia="zh-CN" w:bidi="ar-SA"/>
        </w:rPr>
        <w:t>院印发《生态文明体制改革总体方案》</w:t>
      </w:r>
      <w:r>
        <w:rPr>
          <w:rFonts w:hint="eastAsia" w:ascii="宋体" w:hAnsi="宋体" w:eastAsia="宋体" w:cs="宋体"/>
          <w:color w:val="auto"/>
          <w:kern w:val="2"/>
          <w:sz w:val="28"/>
          <w:szCs w:val="28"/>
          <w:lang w:val="en-US" w:eastAsia="zh-CN" w:bidi="ar-SA"/>
        </w:rPr>
        <w:t>，</w:t>
      </w:r>
      <w:r>
        <w:rPr>
          <w:rFonts w:hint="default" w:ascii="宋体" w:hAnsi="宋体" w:eastAsia="宋体" w:cs="宋体"/>
          <w:color w:val="auto"/>
          <w:kern w:val="2"/>
          <w:sz w:val="28"/>
          <w:szCs w:val="28"/>
          <w:lang w:val="en-US" w:eastAsia="zh-CN" w:bidi="ar-SA"/>
        </w:rPr>
        <w:t>要求</w:t>
      </w:r>
      <w:r>
        <w:rPr>
          <w:rFonts w:hint="eastAsia" w:ascii="宋体" w:hAnsi="宋体" w:eastAsia="宋体" w:cs="宋体"/>
          <w:color w:val="auto"/>
          <w:kern w:val="2"/>
          <w:sz w:val="28"/>
          <w:szCs w:val="28"/>
          <w:lang w:val="en-US" w:eastAsia="zh-CN" w:bidi="ar-SA"/>
        </w:rPr>
        <w:t>“</w:t>
      </w:r>
      <w:r>
        <w:rPr>
          <w:rFonts w:hint="default" w:ascii="宋体" w:hAnsi="宋体" w:eastAsia="宋体" w:cs="宋体"/>
          <w:color w:val="auto"/>
          <w:kern w:val="2"/>
          <w:sz w:val="28"/>
          <w:szCs w:val="28"/>
          <w:lang w:val="en-US" w:eastAsia="zh-CN" w:bidi="ar-SA"/>
        </w:rPr>
        <w:t>构建水资源、土地资源、森林资源等的资产和负债核算方法，建立实物量核算账户，明确分类标准和统计规范，定期评估自然资源资产变化状况</w:t>
      </w:r>
      <w:r>
        <w:rPr>
          <w:rFonts w:hint="eastAsia" w:ascii="宋体" w:hAnsi="宋体" w:eastAsia="宋体" w:cs="宋体"/>
          <w:color w:val="auto"/>
          <w:kern w:val="2"/>
          <w:sz w:val="28"/>
          <w:szCs w:val="28"/>
          <w:lang w:val="en-US" w:eastAsia="zh-CN" w:bidi="ar-SA"/>
        </w:rPr>
        <w:t>”</w:t>
      </w:r>
      <w:r>
        <w:rPr>
          <w:rFonts w:hint="default" w:ascii="宋体" w:hAnsi="宋体" w:eastAsia="宋体" w:cs="宋体"/>
          <w:color w:val="auto"/>
          <w:kern w:val="2"/>
          <w:sz w:val="28"/>
          <w:szCs w:val="28"/>
          <w:lang w:val="en-US" w:eastAsia="zh-CN" w:bidi="ar-SA"/>
        </w:rPr>
        <w:t>。2019年4月，中共中央办公厅、国务院办公厅印发《关于统筹推进自然资源资产产权制度改革的指导意见》</w:t>
      </w:r>
      <w:r>
        <w:rPr>
          <w:rFonts w:hint="eastAsia" w:cs="宋体"/>
          <w:color w:val="auto"/>
          <w:kern w:val="2"/>
          <w:sz w:val="28"/>
          <w:szCs w:val="28"/>
          <w:lang w:val="en-US" w:eastAsia="zh-CN" w:bidi="ar-SA"/>
        </w:rPr>
        <w:t>，</w:t>
      </w:r>
      <w:r>
        <w:rPr>
          <w:rFonts w:hint="default" w:ascii="宋体" w:hAnsi="宋体" w:eastAsia="宋体" w:cs="宋体"/>
          <w:color w:val="auto"/>
          <w:kern w:val="2"/>
          <w:sz w:val="28"/>
          <w:szCs w:val="28"/>
          <w:lang w:val="en-US" w:eastAsia="zh-CN" w:bidi="ar-SA"/>
        </w:rPr>
        <w:t>提出</w:t>
      </w:r>
      <w:r>
        <w:rPr>
          <w:rFonts w:hint="eastAsia" w:ascii="宋体" w:hAnsi="宋体" w:eastAsia="宋体" w:cs="宋体"/>
          <w:color w:val="auto"/>
          <w:kern w:val="2"/>
          <w:sz w:val="28"/>
          <w:szCs w:val="28"/>
          <w:lang w:val="en-US" w:eastAsia="zh-CN" w:bidi="ar-SA"/>
        </w:rPr>
        <w:t>“</w:t>
      </w:r>
      <w:r>
        <w:rPr>
          <w:rFonts w:hint="default" w:ascii="宋体" w:hAnsi="宋体" w:eastAsia="宋体" w:cs="宋体"/>
          <w:color w:val="auto"/>
          <w:kern w:val="2"/>
          <w:sz w:val="28"/>
          <w:szCs w:val="28"/>
          <w:lang w:val="en-US" w:eastAsia="zh-CN" w:bidi="ar-SA"/>
        </w:rPr>
        <w:t>研究建立自然资源资产核算评价制度</w:t>
      </w:r>
      <w:r>
        <w:rPr>
          <w:rFonts w:hint="eastAsia" w:ascii="宋体" w:hAnsi="宋体" w:eastAsia="宋体" w:cs="宋体"/>
          <w:color w:val="auto"/>
          <w:kern w:val="2"/>
          <w:sz w:val="28"/>
          <w:szCs w:val="28"/>
          <w:lang w:val="en-US" w:eastAsia="zh-CN" w:bidi="ar-SA"/>
        </w:rPr>
        <w:t>”。2024年10月，自然资源部印发《自然资源资产价格整体评估技术指引（试行）》，旨在科学显化多门类自然资源资产组合供应、整体交易中的资源价值价格水平，规范价格评估活动，更好地服务于自然资源要素的整体保护、开发利用及有偿使用。</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目前，我国</w:t>
      </w:r>
      <w:r>
        <w:rPr>
          <w:rFonts w:hint="eastAsia" w:cs="宋体"/>
          <w:color w:val="auto"/>
          <w:kern w:val="2"/>
          <w:sz w:val="28"/>
          <w:szCs w:val="28"/>
          <w:lang w:val="en-US" w:eastAsia="zh-CN" w:bidi="ar-SA"/>
        </w:rPr>
        <w:t>在宏观层面分别出台了针对</w:t>
      </w:r>
      <w:r>
        <w:rPr>
          <w:rFonts w:hint="eastAsia" w:ascii="宋体" w:hAnsi="宋体" w:eastAsia="宋体" w:cs="宋体"/>
          <w:color w:val="auto"/>
          <w:kern w:val="2"/>
          <w:sz w:val="28"/>
          <w:szCs w:val="28"/>
          <w:lang w:val="en-US" w:eastAsia="zh-CN" w:bidi="ar-SA"/>
        </w:rPr>
        <w:t>森林和湿地等</w:t>
      </w:r>
      <w:r>
        <w:rPr>
          <w:rFonts w:hint="eastAsia" w:cs="宋体"/>
          <w:color w:val="auto"/>
          <w:kern w:val="2"/>
          <w:sz w:val="28"/>
          <w:szCs w:val="28"/>
          <w:lang w:val="en-US" w:eastAsia="zh-CN" w:bidi="ar-SA"/>
        </w:rPr>
        <w:t>不同</w:t>
      </w:r>
      <w:r>
        <w:rPr>
          <w:rFonts w:hint="eastAsia" w:ascii="宋体" w:hAnsi="宋体" w:eastAsia="宋体" w:cs="宋体"/>
          <w:color w:val="auto"/>
          <w:kern w:val="2"/>
          <w:sz w:val="28"/>
          <w:szCs w:val="28"/>
          <w:lang w:val="en-US" w:eastAsia="zh-CN" w:bidi="ar-SA"/>
        </w:rPr>
        <w:t>资源门类</w:t>
      </w:r>
      <w:r>
        <w:rPr>
          <w:rFonts w:hint="eastAsia" w:cs="宋体"/>
          <w:color w:val="auto"/>
          <w:kern w:val="2"/>
          <w:sz w:val="28"/>
          <w:szCs w:val="28"/>
          <w:lang w:val="en-US" w:eastAsia="zh-CN" w:bidi="ar-SA"/>
        </w:rPr>
        <w:t>的</w:t>
      </w:r>
      <w:r>
        <w:rPr>
          <w:rFonts w:hint="eastAsia" w:ascii="宋体" w:hAnsi="宋体" w:eastAsia="宋体" w:cs="宋体"/>
          <w:color w:val="auto"/>
          <w:kern w:val="2"/>
          <w:sz w:val="28"/>
          <w:szCs w:val="28"/>
          <w:lang w:val="en-US" w:eastAsia="zh-CN" w:bidi="ar-SA"/>
        </w:rPr>
        <w:t>相关规范，</w:t>
      </w:r>
      <w:r>
        <w:rPr>
          <w:rFonts w:hint="default" w:ascii="宋体" w:hAnsi="宋体" w:eastAsia="宋体" w:cs="宋体"/>
          <w:color w:val="auto"/>
          <w:kern w:val="2"/>
          <w:sz w:val="28"/>
          <w:szCs w:val="28"/>
          <w:lang w:val="en-US" w:eastAsia="zh-Hans" w:bidi="ar-SA"/>
        </w:rPr>
        <w:t>包括《森林生态系统服务功能评估规范》(GB/T</w:t>
      </w:r>
      <w:r>
        <w:rPr>
          <w:rFonts w:hint="eastAsia" w:ascii="宋体" w:hAnsi="宋体" w:eastAsia="宋体" w:cs="宋体"/>
          <w:color w:val="auto"/>
          <w:kern w:val="2"/>
          <w:sz w:val="28"/>
          <w:szCs w:val="28"/>
          <w:lang w:val="en-US" w:eastAsia="zh-CN" w:bidi="ar-SA"/>
        </w:rPr>
        <w:t xml:space="preserve"> </w:t>
      </w:r>
      <w:r>
        <w:rPr>
          <w:rFonts w:hint="default" w:ascii="宋体" w:hAnsi="宋体" w:eastAsia="宋体" w:cs="宋体"/>
          <w:color w:val="auto"/>
          <w:kern w:val="2"/>
          <w:sz w:val="28"/>
          <w:szCs w:val="28"/>
          <w:lang w:val="en-US" w:eastAsia="zh-Hans" w:bidi="ar-SA"/>
        </w:rPr>
        <w:t>38582-2020)《自然资源(森林)资产评估技术规范》(LY/T 2735-2016)《森林资源资产评估技术规范》(LY/T 2407-2015)《湿地生态服务评估规范》(LY/T</w:t>
      </w:r>
      <w:r>
        <w:rPr>
          <w:rFonts w:hint="eastAsia" w:ascii="宋体" w:hAnsi="宋体" w:eastAsia="宋体" w:cs="宋体"/>
          <w:color w:val="auto"/>
          <w:kern w:val="2"/>
          <w:sz w:val="28"/>
          <w:szCs w:val="28"/>
          <w:lang w:val="en-US" w:eastAsia="zh-CN" w:bidi="ar-SA"/>
        </w:rPr>
        <w:t xml:space="preserve"> </w:t>
      </w:r>
      <w:r>
        <w:rPr>
          <w:rFonts w:hint="default" w:ascii="宋体" w:hAnsi="宋体" w:eastAsia="宋体" w:cs="宋体"/>
          <w:color w:val="auto"/>
          <w:kern w:val="2"/>
          <w:sz w:val="28"/>
          <w:szCs w:val="28"/>
          <w:lang w:val="en-US" w:eastAsia="zh-Hans" w:bidi="ar-SA"/>
        </w:rPr>
        <w:t>2889-2017)等。</w:t>
      </w:r>
      <w:r>
        <w:rPr>
          <w:rFonts w:hint="eastAsia" w:ascii="宋体" w:hAnsi="宋体" w:eastAsia="宋体" w:cs="宋体"/>
          <w:color w:val="auto"/>
          <w:kern w:val="2"/>
          <w:sz w:val="28"/>
          <w:szCs w:val="28"/>
          <w:lang w:val="en-US" w:eastAsia="zh-CN" w:bidi="ar-SA"/>
        </w:rPr>
        <w:t>深圳市于2024年3月正式发布</w:t>
      </w:r>
      <w:r>
        <w:rPr>
          <w:rFonts w:hint="eastAsia" w:cs="宋体"/>
          <w:color w:val="auto"/>
          <w:kern w:val="2"/>
          <w:sz w:val="28"/>
          <w:szCs w:val="28"/>
          <w:lang w:val="en-US" w:eastAsia="zh-CN" w:bidi="ar-SA"/>
        </w:rPr>
        <w:t>地方标准</w:t>
      </w:r>
      <w:r>
        <w:rPr>
          <w:rFonts w:hint="eastAsia" w:ascii="宋体" w:hAnsi="宋体" w:eastAsia="宋体" w:cs="宋体"/>
          <w:color w:val="auto"/>
          <w:kern w:val="2"/>
          <w:sz w:val="28"/>
          <w:szCs w:val="28"/>
          <w:lang w:val="en-US" w:eastAsia="zh-CN" w:bidi="ar-SA"/>
        </w:rPr>
        <w:t>《陆域自然资源资产评估核算技术规范》（DB4403/T 430—2024），成为国内首个对陆域自然资源整体核算的技术规范</w:t>
      </w:r>
      <w:r>
        <w:rPr>
          <w:rFonts w:hint="eastAsia"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而海洋资源领域，目前</w:t>
      </w:r>
      <w:r>
        <w:rPr>
          <w:rFonts w:hint="eastAsia" w:cs="宋体"/>
          <w:color w:val="auto"/>
          <w:kern w:val="2"/>
          <w:sz w:val="28"/>
          <w:szCs w:val="28"/>
          <w:lang w:val="en-US" w:eastAsia="zh-CN" w:bidi="ar-SA"/>
        </w:rPr>
        <w:t>仅</w:t>
      </w:r>
      <w:r>
        <w:rPr>
          <w:rFonts w:hint="eastAsia" w:ascii="宋体" w:hAnsi="宋体" w:eastAsia="宋体" w:cs="宋体"/>
          <w:color w:val="auto"/>
          <w:kern w:val="2"/>
          <w:sz w:val="28"/>
          <w:szCs w:val="28"/>
          <w:lang w:val="en-US" w:eastAsia="zh-CN" w:bidi="ar-SA"/>
        </w:rPr>
        <w:t>有《海洋生态资产评估技术导则》（GB/T 28058-2011）</w:t>
      </w:r>
      <w:r>
        <w:rPr>
          <w:rFonts w:hint="eastAsia" w:cs="宋体"/>
          <w:color w:val="auto"/>
          <w:kern w:val="2"/>
          <w:sz w:val="28"/>
          <w:szCs w:val="28"/>
          <w:lang w:val="en-US" w:eastAsia="zh-CN" w:bidi="ar-SA"/>
        </w:rPr>
        <w:t>和</w:t>
      </w:r>
      <w:r>
        <w:rPr>
          <w:rFonts w:hint="eastAsia" w:ascii="宋体" w:hAnsi="宋体" w:eastAsia="宋体" w:cs="宋体"/>
          <w:color w:val="auto"/>
          <w:kern w:val="2"/>
          <w:sz w:val="28"/>
          <w:szCs w:val="28"/>
          <w:lang w:val="en-US" w:eastAsia="zh-CN" w:bidi="ar-SA"/>
        </w:rPr>
        <w:t>修订版（20211154-T-334）《海洋生态系统服务评估技术导则》（DB37/T 2770-2016），以及正在起草的《海洋生态系统生产总值核算技术指南》（20240276-T-469）等，</w:t>
      </w:r>
      <w:r>
        <w:rPr>
          <w:rFonts w:hint="eastAsia" w:cs="宋体"/>
          <w:color w:val="auto"/>
          <w:kern w:val="2"/>
          <w:sz w:val="28"/>
          <w:szCs w:val="28"/>
          <w:lang w:val="en-US" w:eastAsia="zh-CN" w:bidi="ar-SA"/>
        </w:rPr>
        <w:t>探索</w:t>
      </w:r>
      <w:r>
        <w:rPr>
          <w:rFonts w:hint="eastAsia" w:ascii="宋体" w:hAnsi="宋体" w:eastAsia="宋体" w:cs="宋体"/>
          <w:color w:val="auto"/>
          <w:kern w:val="2"/>
          <w:sz w:val="28"/>
          <w:szCs w:val="28"/>
          <w:lang w:val="en-US" w:eastAsia="zh-CN" w:bidi="ar-SA"/>
        </w:rPr>
        <w:t>海洋资源资产整体性核算</w:t>
      </w:r>
      <w:r>
        <w:rPr>
          <w:rFonts w:hint="eastAsia" w:cs="宋体"/>
          <w:color w:val="auto"/>
          <w:kern w:val="2"/>
          <w:sz w:val="28"/>
          <w:szCs w:val="28"/>
          <w:lang w:val="en-US" w:eastAsia="zh-CN" w:bidi="ar-SA"/>
        </w:rPr>
        <w:t>方法</w:t>
      </w:r>
      <w:r>
        <w:rPr>
          <w:rFonts w:hint="eastAsia" w:ascii="宋体" w:hAnsi="宋体" w:eastAsia="宋体" w:cs="宋体"/>
          <w:color w:val="auto"/>
          <w:kern w:val="2"/>
          <w:sz w:val="28"/>
          <w:szCs w:val="28"/>
          <w:lang w:val="en-US" w:eastAsia="zh-CN" w:bidi="ar-SA"/>
        </w:rPr>
        <w:t>，</w:t>
      </w:r>
      <w:r>
        <w:rPr>
          <w:rFonts w:hint="eastAsia" w:cs="宋体"/>
          <w:color w:val="auto"/>
          <w:kern w:val="2"/>
          <w:sz w:val="28"/>
          <w:szCs w:val="28"/>
          <w:lang w:val="en-US" w:eastAsia="zh-CN" w:bidi="ar-SA"/>
        </w:rPr>
        <w:t>极</w:t>
      </w:r>
      <w:r>
        <w:rPr>
          <w:rFonts w:hint="eastAsia" w:ascii="宋体" w:hAnsi="宋体" w:eastAsia="宋体" w:cs="宋体"/>
          <w:color w:val="auto"/>
          <w:kern w:val="2"/>
          <w:sz w:val="28"/>
          <w:szCs w:val="28"/>
          <w:lang w:val="en-US" w:eastAsia="zh-CN" w:bidi="ar-SA"/>
        </w:rPr>
        <w:t>需针对性出台可操作性的标准规范。</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国外现行相关法律法规和标准情况</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美国《1976年联邦土地政策和管理法》(The Federal Land Policy and Management Act of</w:t>
      </w:r>
      <w:r>
        <w:rPr>
          <w:rFonts w:hint="eastAsia" w:cs="宋体"/>
          <w:color w:val="auto"/>
          <w:kern w:val="2"/>
          <w:sz w:val="28"/>
          <w:szCs w:val="28"/>
          <w:lang w:val="en-US" w:eastAsia="zh-CN" w:bidi="ar-SA"/>
        </w:rPr>
        <w:t xml:space="preserve"> 1976)</w:t>
      </w:r>
      <w:r>
        <w:rPr>
          <w:rFonts w:hint="eastAsia" w:ascii="宋体" w:hAnsi="宋体" w:eastAsia="宋体" w:cs="宋体"/>
          <w:color w:val="auto"/>
          <w:kern w:val="2"/>
          <w:sz w:val="28"/>
          <w:szCs w:val="28"/>
          <w:lang w:val="en-US" w:eastAsia="zh-CN" w:bidi="ar-SA"/>
        </w:rPr>
        <w:t>规定了美国联邦政府对公共土地等自然资源的管理原则和方式，其中涉及到对土地资源的分类、评估和核算等方面的要求，为自然资源资产核算提供了法律基础。</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1989年，联合国开始构建环境经济核算体系（SEEA），</w:t>
      </w:r>
      <w:r>
        <w:rPr>
          <w:rFonts w:ascii="宋体" w:hAnsi="宋体" w:eastAsia="宋体" w:cs="宋体"/>
          <w:color w:val="auto"/>
          <w:kern w:val="2"/>
          <w:sz w:val="28"/>
          <w:szCs w:val="28"/>
          <w:lang w:bidi="ar-SA"/>
        </w:rPr>
        <w:t>该体系随着各国的实践而持续完善，</w:t>
      </w:r>
      <w:r>
        <w:rPr>
          <w:rFonts w:hint="eastAsia" w:ascii="宋体" w:hAnsi="宋体" w:eastAsia="宋体" w:cs="宋体"/>
          <w:color w:val="auto"/>
          <w:kern w:val="2"/>
          <w:sz w:val="28"/>
          <w:szCs w:val="28"/>
          <w:lang w:val="en-US" w:eastAsia="zh-CN" w:bidi="ar-SA"/>
        </w:rPr>
        <w:t>为建立绿色国民经济核算、自然资源账户和污染账户提供了一个</w:t>
      </w:r>
      <w:r>
        <w:rPr>
          <w:rFonts w:hint="eastAsia" w:cs="宋体"/>
          <w:color w:val="auto"/>
          <w:kern w:val="2"/>
          <w:sz w:val="28"/>
          <w:szCs w:val="28"/>
          <w:lang w:val="en-US" w:eastAsia="zh-CN" w:bidi="ar-SA"/>
        </w:rPr>
        <w:t>统一</w:t>
      </w:r>
      <w:r>
        <w:rPr>
          <w:rFonts w:hint="eastAsia" w:ascii="宋体" w:hAnsi="宋体" w:eastAsia="宋体" w:cs="宋体"/>
          <w:color w:val="auto"/>
          <w:kern w:val="2"/>
          <w:sz w:val="28"/>
          <w:szCs w:val="28"/>
          <w:lang w:val="en-US" w:eastAsia="zh-CN" w:bidi="ar-SA"/>
        </w:rPr>
        <w:t>框架。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1995年</w:t>
      </w:r>
      <w:r>
        <w:rPr>
          <w:rFonts w:hint="eastAsia" w:cs="宋体"/>
          <w:color w:val="auto"/>
          <w:kern w:val="2"/>
          <w:sz w:val="28"/>
          <w:szCs w:val="28"/>
          <w:lang w:val="en-US" w:eastAsia="zh-CN" w:bidi="ar-SA"/>
        </w:rPr>
        <w:t>，</w:t>
      </w:r>
      <w:r>
        <w:rPr>
          <w:rFonts w:hint="default" w:ascii="宋体" w:hAnsi="宋体" w:eastAsia="宋体" w:cs="宋体"/>
          <w:color w:val="auto"/>
          <w:kern w:val="2"/>
          <w:sz w:val="28"/>
          <w:szCs w:val="28"/>
          <w:lang w:val="en-US" w:eastAsia="zh-CN" w:bidi="ar-SA"/>
        </w:rPr>
        <w:t>联合国环境规划署启动全球环境展望（GEO）项目，</w:t>
      </w:r>
      <w:r>
        <w:rPr>
          <w:rFonts w:hint="eastAsia" w:cs="宋体"/>
          <w:color w:val="auto"/>
          <w:kern w:val="2"/>
          <w:sz w:val="28"/>
          <w:szCs w:val="28"/>
          <w:lang w:val="en-US" w:eastAsia="zh-CN" w:bidi="ar-SA"/>
        </w:rPr>
        <w:t>旨在</w:t>
      </w:r>
      <w:r>
        <w:rPr>
          <w:rFonts w:hint="eastAsia" w:ascii="宋体" w:hAnsi="宋体" w:eastAsia="宋体" w:cs="宋体"/>
          <w:color w:val="auto"/>
          <w:kern w:val="2"/>
          <w:sz w:val="28"/>
          <w:szCs w:val="28"/>
          <w:lang w:bidi="ar-SA"/>
        </w:rPr>
        <w:t>以定期评估的方式，深入洞察全球环境的实时状况以及其动态变化趋势</w:t>
      </w:r>
      <w:r>
        <w:rPr>
          <w:rFonts w:hint="eastAsia" w:ascii="宋体" w:hAnsi="宋体" w:eastAsia="宋体" w:cs="宋体"/>
          <w:color w:val="auto"/>
          <w:kern w:val="2"/>
          <w:sz w:val="28"/>
          <w:szCs w:val="28"/>
          <w:lang w:eastAsia="zh-CN" w:bidi="ar-SA"/>
        </w:rPr>
        <w:t>。</w:t>
      </w:r>
      <w:r>
        <w:rPr>
          <w:rFonts w:hint="eastAsia" w:cs="宋体"/>
          <w:color w:val="auto"/>
          <w:kern w:val="2"/>
          <w:sz w:val="28"/>
          <w:szCs w:val="28"/>
          <w:lang w:val="en-US" w:eastAsia="zh-CN" w:bidi="ar-SA"/>
        </w:rPr>
        <w:t>目前，已正式</w:t>
      </w:r>
      <w:r>
        <w:rPr>
          <w:rFonts w:hint="default" w:ascii="宋体" w:hAnsi="宋体" w:eastAsia="宋体" w:cs="宋体"/>
          <w:color w:val="auto"/>
          <w:kern w:val="2"/>
          <w:sz w:val="28"/>
          <w:szCs w:val="28"/>
          <w:lang w:val="en-US" w:eastAsia="zh-CN" w:bidi="ar-SA"/>
        </w:rPr>
        <w:t>发布</w:t>
      </w:r>
      <w:r>
        <w:rPr>
          <w:rFonts w:hint="eastAsia" w:cs="宋体"/>
          <w:color w:val="auto"/>
          <w:kern w:val="2"/>
          <w:sz w:val="28"/>
          <w:szCs w:val="28"/>
          <w:lang w:val="en-US" w:eastAsia="zh-CN" w:bidi="ar-SA"/>
        </w:rPr>
        <w:t>六</w:t>
      </w:r>
      <w:r>
        <w:rPr>
          <w:rFonts w:hint="default" w:ascii="宋体" w:hAnsi="宋体" w:eastAsia="宋体" w:cs="宋体"/>
          <w:color w:val="auto"/>
          <w:kern w:val="2"/>
          <w:sz w:val="28"/>
          <w:szCs w:val="28"/>
          <w:lang w:val="en-US" w:eastAsia="zh-CN" w:bidi="ar-SA"/>
        </w:rPr>
        <w:t>版GEO报告</w:t>
      </w:r>
      <w:r>
        <w:rPr>
          <w:rFonts w:hint="eastAsia" w:cs="宋体"/>
          <w:color w:val="auto"/>
          <w:kern w:val="2"/>
          <w:sz w:val="28"/>
          <w:szCs w:val="28"/>
          <w:lang w:val="en-US" w:eastAsia="zh-CN" w:bidi="ar-SA"/>
        </w:rPr>
        <w:t>，主要聚焦于</w:t>
      </w:r>
      <w:r>
        <w:rPr>
          <w:rFonts w:hint="default" w:ascii="宋体" w:hAnsi="宋体" w:eastAsia="宋体" w:cs="宋体"/>
          <w:color w:val="auto"/>
          <w:kern w:val="2"/>
          <w:sz w:val="28"/>
          <w:szCs w:val="28"/>
          <w:lang w:val="en-US" w:eastAsia="zh-CN" w:bidi="ar-SA"/>
        </w:rPr>
        <w:t>环境</w:t>
      </w:r>
      <w:r>
        <w:rPr>
          <w:rFonts w:hint="eastAsia" w:cs="宋体"/>
          <w:color w:val="auto"/>
          <w:kern w:val="2"/>
          <w:sz w:val="28"/>
          <w:szCs w:val="28"/>
          <w:lang w:val="en-US" w:eastAsia="zh-CN" w:bidi="ar-SA"/>
        </w:rPr>
        <w:t>问题</w:t>
      </w:r>
      <w:r>
        <w:rPr>
          <w:rFonts w:hint="default" w:ascii="宋体" w:hAnsi="宋体" w:eastAsia="宋体" w:cs="宋体"/>
          <w:color w:val="auto"/>
          <w:kern w:val="2"/>
          <w:sz w:val="28"/>
          <w:szCs w:val="28"/>
          <w:lang w:val="en-US" w:eastAsia="zh-CN" w:bidi="ar-SA"/>
        </w:rPr>
        <w:t>，但是土地、森林、生物多样性等生态评估内容仍然是该报告的主要</w:t>
      </w:r>
      <w:r>
        <w:rPr>
          <w:rFonts w:hint="eastAsia" w:cs="宋体"/>
          <w:color w:val="auto"/>
          <w:kern w:val="2"/>
          <w:sz w:val="28"/>
          <w:szCs w:val="28"/>
          <w:lang w:val="en-US" w:eastAsia="zh-CN" w:bidi="ar-SA"/>
        </w:rPr>
        <w:t>部分，且占比逐渐</w:t>
      </w:r>
      <w:r>
        <w:rPr>
          <w:rFonts w:hint="default" w:ascii="宋体" w:hAnsi="宋体" w:eastAsia="宋体" w:cs="宋体"/>
          <w:color w:val="auto"/>
          <w:kern w:val="2"/>
          <w:sz w:val="28"/>
          <w:szCs w:val="28"/>
          <w:lang w:val="en-US" w:eastAsia="zh-CN" w:bidi="ar-SA"/>
        </w:rPr>
        <w:t>增加，该项目开启了定期评估</w:t>
      </w:r>
      <w:r>
        <w:rPr>
          <w:rFonts w:hint="eastAsia" w:cs="宋体"/>
          <w:color w:val="auto"/>
          <w:kern w:val="2"/>
          <w:sz w:val="28"/>
          <w:szCs w:val="28"/>
          <w:lang w:val="en-US" w:eastAsia="zh-CN" w:bidi="ar-SA"/>
        </w:rPr>
        <w:t>环境</w:t>
      </w:r>
      <w:r>
        <w:rPr>
          <w:rFonts w:hint="default" w:ascii="宋体" w:hAnsi="宋体" w:eastAsia="宋体" w:cs="宋体"/>
          <w:color w:val="auto"/>
          <w:kern w:val="2"/>
          <w:sz w:val="28"/>
          <w:szCs w:val="28"/>
          <w:lang w:val="en-US" w:eastAsia="zh-CN" w:bidi="ar-SA"/>
        </w:rPr>
        <w:t>状况的先河。</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2001</w:t>
      </w:r>
      <w:r>
        <w:rPr>
          <w:rFonts w:hint="eastAsia" w:ascii="宋体" w:hAnsi="宋体" w:eastAsia="宋体" w:cs="宋体"/>
          <w:color w:val="auto"/>
          <w:kern w:val="2"/>
          <w:sz w:val="28"/>
          <w:szCs w:val="28"/>
          <w:lang w:val="en-US" w:eastAsia="zh-CN" w:bidi="ar-SA"/>
        </w:rPr>
        <w:t>年，联合国</w:t>
      </w:r>
      <w:r>
        <w:rPr>
          <w:rFonts w:hint="eastAsia" w:cs="宋体"/>
          <w:color w:val="auto"/>
          <w:kern w:val="2"/>
          <w:sz w:val="28"/>
          <w:szCs w:val="28"/>
          <w:lang w:val="en-US" w:eastAsia="zh-CN" w:bidi="ar-SA"/>
        </w:rPr>
        <w:t>携手</w:t>
      </w:r>
      <w:r>
        <w:rPr>
          <w:rFonts w:hint="eastAsia" w:ascii="宋体" w:hAnsi="宋体" w:eastAsia="宋体" w:cs="宋体"/>
          <w:color w:val="auto"/>
          <w:kern w:val="2"/>
          <w:sz w:val="28"/>
          <w:szCs w:val="28"/>
          <w:lang w:val="en-US" w:eastAsia="zh-CN" w:bidi="ar-SA"/>
        </w:rPr>
        <w:t>世界卫生组织、环境规划署和世界银行等机构</w:t>
      </w:r>
      <w:r>
        <w:rPr>
          <w:rFonts w:hint="eastAsia" w:cs="宋体"/>
          <w:color w:val="auto"/>
          <w:kern w:val="2"/>
          <w:sz w:val="28"/>
          <w:szCs w:val="28"/>
          <w:lang w:val="en-US" w:eastAsia="zh-CN" w:bidi="ar-SA"/>
        </w:rPr>
        <w:t>，启动</w:t>
      </w:r>
      <w:r>
        <w:rPr>
          <w:rFonts w:hint="eastAsia" w:ascii="宋体" w:hAnsi="宋体" w:eastAsia="宋体" w:cs="宋体"/>
          <w:color w:val="auto"/>
          <w:kern w:val="2"/>
          <w:sz w:val="28"/>
          <w:szCs w:val="28"/>
          <w:lang w:val="en-US" w:eastAsia="zh-CN" w:bidi="ar-SA"/>
        </w:rPr>
        <w:t>了千年生态系统评估</w:t>
      </w:r>
      <w:r>
        <w:rPr>
          <w:rFonts w:hint="default" w:ascii="宋体" w:hAnsi="宋体" w:eastAsia="宋体" w:cs="宋体"/>
          <w:color w:val="auto"/>
          <w:kern w:val="2"/>
          <w:sz w:val="28"/>
          <w:szCs w:val="28"/>
          <w:lang w:val="en-US" w:eastAsia="zh-CN" w:bidi="ar-SA"/>
        </w:rPr>
        <w:t>（MA</w:t>
      </w:r>
      <w:r>
        <w:rPr>
          <w:rFonts w:hint="eastAsia"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国际合作项目</w:t>
      </w:r>
      <w:r>
        <w:rPr>
          <w:rFonts w:hint="eastAsia" w:cs="宋体"/>
          <w:color w:val="auto"/>
          <w:kern w:val="2"/>
          <w:sz w:val="28"/>
          <w:szCs w:val="28"/>
          <w:lang w:val="en-US" w:eastAsia="zh-CN" w:bidi="ar-SA"/>
        </w:rPr>
        <w:t>，</w:t>
      </w:r>
      <w:r>
        <w:rPr>
          <w:rFonts w:ascii="宋体" w:hAnsi="宋体" w:eastAsia="宋体" w:cs="宋体"/>
          <w:color w:val="auto"/>
          <w:kern w:val="2"/>
          <w:sz w:val="28"/>
          <w:szCs w:val="28"/>
          <w:lang w:bidi="ar-SA"/>
        </w:rPr>
        <w:t>该项目采用以“供给、调节、支持、文化”为核心的生态系统服务生态评估框架，</w:t>
      </w:r>
      <w:r>
        <w:rPr>
          <w:rFonts w:hint="eastAsia" w:ascii="宋体" w:hAnsi="宋体" w:eastAsia="宋体" w:cs="宋体"/>
          <w:color w:val="auto"/>
          <w:kern w:val="2"/>
          <w:sz w:val="28"/>
          <w:szCs w:val="28"/>
          <w:lang w:val="en-US" w:eastAsia="zh-CN" w:bidi="ar-SA"/>
        </w:rPr>
        <w:t>以生态系统服务为主线，通过在国家、区域和全球不同尺度上的综合性评估</w:t>
      </w:r>
      <w:r>
        <w:rPr>
          <w:rFonts w:hint="eastAsia" w:cs="宋体"/>
          <w:color w:val="auto"/>
          <w:kern w:val="2"/>
          <w:sz w:val="28"/>
          <w:szCs w:val="28"/>
          <w:lang w:val="en-US" w:eastAsia="zh-CN" w:bidi="ar-SA"/>
        </w:rPr>
        <w:t>，深入研究</w:t>
      </w:r>
      <w:r>
        <w:rPr>
          <w:rFonts w:hint="eastAsia" w:ascii="宋体" w:hAnsi="宋体" w:eastAsia="宋体" w:cs="宋体"/>
          <w:color w:val="auto"/>
          <w:kern w:val="2"/>
          <w:sz w:val="28"/>
          <w:szCs w:val="28"/>
          <w:lang w:val="en-US" w:eastAsia="zh-CN" w:bidi="ar-SA"/>
        </w:rPr>
        <w:t>全球生态系统现状、变化及未来情景，</w:t>
      </w:r>
      <w:r>
        <w:rPr>
          <w:rFonts w:hint="eastAsia" w:cs="宋体"/>
          <w:color w:val="auto"/>
          <w:kern w:val="2"/>
          <w:sz w:val="28"/>
          <w:szCs w:val="28"/>
          <w:lang w:val="en-US" w:eastAsia="zh-CN" w:bidi="ar-SA"/>
        </w:rPr>
        <w:t>并</w:t>
      </w:r>
      <w:r>
        <w:rPr>
          <w:rFonts w:hint="eastAsia" w:ascii="宋体" w:hAnsi="宋体" w:eastAsia="宋体" w:cs="宋体"/>
          <w:color w:val="auto"/>
          <w:kern w:val="2"/>
          <w:sz w:val="28"/>
          <w:szCs w:val="28"/>
          <w:lang w:val="en-US" w:eastAsia="zh-CN" w:bidi="ar-SA"/>
        </w:rPr>
        <w:t>分析生态系统及其变化与人类福祉之间的相互关系。该</w:t>
      </w:r>
      <w:r>
        <w:rPr>
          <w:rFonts w:hint="eastAsia" w:cs="宋体"/>
          <w:color w:val="auto"/>
          <w:kern w:val="2"/>
          <w:sz w:val="28"/>
          <w:szCs w:val="28"/>
          <w:lang w:val="en-US" w:eastAsia="zh-CN" w:bidi="ar-SA"/>
        </w:rPr>
        <w:t>项目</w:t>
      </w:r>
      <w:r>
        <w:rPr>
          <w:rFonts w:hint="eastAsia" w:ascii="宋体" w:hAnsi="宋体" w:eastAsia="宋体" w:cs="宋体"/>
          <w:color w:val="auto"/>
          <w:kern w:val="2"/>
          <w:sz w:val="28"/>
          <w:szCs w:val="28"/>
          <w:lang w:val="en-US" w:eastAsia="zh-CN" w:bidi="ar-SA"/>
        </w:rPr>
        <w:t>初步建立了多尺度、综合评估的方法</w:t>
      </w:r>
      <w:r>
        <w:rPr>
          <w:rFonts w:hint="eastAsia" w:cs="宋体"/>
          <w:color w:val="auto"/>
          <w:kern w:val="2"/>
          <w:sz w:val="28"/>
          <w:szCs w:val="28"/>
          <w:lang w:val="en-US" w:eastAsia="zh-CN" w:bidi="ar-SA"/>
        </w:rPr>
        <w:t>，并于</w:t>
      </w:r>
      <w:r>
        <w:rPr>
          <w:rFonts w:hint="eastAsia" w:ascii="宋体" w:hAnsi="宋体" w:eastAsia="宋体" w:cs="宋体"/>
          <w:color w:val="auto"/>
          <w:kern w:val="2"/>
          <w:sz w:val="28"/>
          <w:szCs w:val="28"/>
          <w:lang w:val="en-US" w:eastAsia="zh-CN" w:bidi="ar-SA"/>
        </w:rPr>
        <w:t>2005年陆续发布评估结果，对国际社会产生重要影响。</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cs="宋体"/>
          <w:color w:val="auto"/>
          <w:kern w:val="2"/>
          <w:sz w:val="28"/>
          <w:szCs w:val="28"/>
          <w:lang w:val="en-US" w:eastAsia="zh-CN" w:bidi="ar-SA"/>
        </w:rPr>
        <w:t>2012年2月，经联合国统计委员会第43届会议审议通过，“环境经济核算体系核心框架（2012年SEEA-CF）”成为环境经济核算领域体系的首个国际统计标准。</w:t>
      </w:r>
      <w:r>
        <w:rPr>
          <w:rFonts w:hint="eastAsia" w:ascii="宋体" w:hAnsi="宋体" w:eastAsia="宋体" w:cs="宋体"/>
          <w:color w:val="auto"/>
          <w:kern w:val="2"/>
          <w:sz w:val="28"/>
          <w:szCs w:val="28"/>
          <w:lang w:val="en-US" w:eastAsia="zh-CN" w:bidi="ar-SA"/>
        </w:rPr>
        <w:t>现已先后发布了《环境经济核算体系中心框架》《环境经济核算体系——实验性生态系统核算》《支持环境经济核算体系——实验性生态系统核算的技术建议》《环境经济核算体系——生态系统核算》等文件。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color w:val="auto"/>
          <w:lang w:val="en-US" w:eastAsia="zh-CN"/>
        </w:rPr>
      </w:pPr>
      <w:r>
        <w:rPr>
          <w:rFonts w:hint="default" w:ascii="宋体" w:hAnsi="宋体" w:eastAsia="宋体" w:cs="宋体"/>
          <w:b w:val="0"/>
          <w:bCs w:val="0"/>
          <w:i w:val="0"/>
          <w:iCs w:val="0"/>
          <w:caps w:val="0"/>
          <w:color w:val="auto"/>
          <w:spacing w:val="0"/>
          <w:kern w:val="2"/>
          <w:sz w:val="28"/>
          <w:szCs w:val="28"/>
          <w:shd w:val="clear"/>
        </w:rPr>
        <w:t>2024年</w:t>
      </w:r>
      <w:r>
        <w:rPr>
          <w:rFonts w:hint="default" w:ascii="宋体" w:hAnsi="宋体" w:eastAsia="宋体" w:cs="宋体"/>
          <w:b w:val="0"/>
          <w:bCs w:val="0"/>
          <w:i w:val="0"/>
          <w:iCs w:val="0"/>
          <w:caps w:val="0"/>
          <w:color w:val="auto"/>
          <w:spacing w:val="0"/>
          <w:kern w:val="2"/>
          <w:sz w:val="28"/>
          <w:szCs w:val="28"/>
          <w:shd w:val="clear"/>
          <w:lang w:eastAsia="zh-CN"/>
        </w:rPr>
        <w:t>，</w:t>
      </w:r>
      <w:r>
        <w:rPr>
          <w:rFonts w:hint="default" w:ascii="宋体" w:hAnsi="宋体" w:eastAsia="宋体" w:cs="宋体"/>
          <w:b w:val="0"/>
          <w:bCs w:val="0"/>
          <w:i w:val="0"/>
          <w:iCs w:val="0"/>
          <w:caps w:val="0"/>
          <w:color w:val="auto"/>
          <w:spacing w:val="0"/>
          <w:kern w:val="2"/>
          <w:sz w:val="28"/>
          <w:szCs w:val="28"/>
          <w:shd w:val="clear"/>
        </w:rPr>
        <w:t>联合国经济和社会事务部</w:t>
      </w:r>
      <w:r>
        <w:rPr>
          <w:rFonts w:hint="default" w:ascii="宋体" w:hAnsi="宋体" w:eastAsia="宋体" w:cs="宋体"/>
          <w:b w:val="0"/>
          <w:bCs w:val="0"/>
          <w:i w:val="0"/>
          <w:iCs w:val="0"/>
          <w:caps w:val="0"/>
          <w:color w:val="auto"/>
          <w:spacing w:val="0"/>
          <w:kern w:val="2"/>
          <w:sz w:val="28"/>
          <w:szCs w:val="28"/>
          <w:shd w:val="clear"/>
          <w:lang w:val="en-US" w:eastAsia="zh-CN"/>
        </w:rPr>
        <w:t>发布《</w:t>
      </w:r>
      <w:r>
        <w:rPr>
          <w:rFonts w:hint="default" w:ascii="宋体" w:hAnsi="宋体" w:eastAsia="宋体" w:cs="宋体"/>
          <w:b w:val="0"/>
          <w:bCs w:val="0"/>
          <w:i w:val="0"/>
          <w:iCs w:val="0"/>
          <w:caps w:val="0"/>
          <w:color w:val="auto"/>
          <w:spacing w:val="0"/>
          <w:kern w:val="2"/>
          <w:sz w:val="28"/>
          <w:szCs w:val="28"/>
          <w:shd w:val="clear"/>
        </w:rPr>
        <w:t>环境经济核算体系-生态系统核算报告</w:t>
      </w:r>
      <w:r>
        <w:rPr>
          <w:rFonts w:hint="default" w:ascii="宋体" w:hAnsi="宋体" w:eastAsia="宋体" w:cs="宋体"/>
          <w:b w:val="0"/>
          <w:bCs w:val="0"/>
          <w:i w:val="0"/>
          <w:iCs w:val="0"/>
          <w:caps w:val="0"/>
          <w:color w:val="auto"/>
          <w:spacing w:val="0"/>
          <w:kern w:val="2"/>
          <w:sz w:val="28"/>
          <w:szCs w:val="28"/>
          <w:shd w:val="clear"/>
          <w:lang w:eastAsia="zh-CN"/>
        </w:rPr>
        <w:t>》</w:t>
      </w:r>
      <w:r>
        <w:rPr>
          <w:rFonts w:hint="eastAsia" w:cs="宋体"/>
          <w:b w:val="0"/>
          <w:bCs w:val="0"/>
          <w:i w:val="0"/>
          <w:iCs w:val="0"/>
          <w:caps w:val="0"/>
          <w:color w:val="auto"/>
          <w:spacing w:val="0"/>
          <w:kern w:val="2"/>
          <w:sz w:val="28"/>
          <w:szCs w:val="28"/>
          <w:shd w:val="clear"/>
          <w:lang w:val="en-US" w:eastAsia="zh-CN"/>
        </w:rPr>
        <w:t>,</w:t>
      </w:r>
      <w:r>
        <w:rPr>
          <w:rFonts w:hint="default" w:ascii="宋体" w:hAnsi="宋体" w:eastAsia="宋体" w:cs="宋体"/>
          <w:color w:val="auto"/>
          <w:kern w:val="2"/>
          <w:sz w:val="28"/>
          <w:szCs w:val="28"/>
          <w:lang w:bidi="ar-SA"/>
        </w:rPr>
        <w:t>介绍生态系统核算框架（SEEA</w:t>
      </w:r>
      <w:r>
        <w:rPr>
          <w:rFonts w:hint="eastAsia" w:cs="宋体"/>
          <w:color w:val="auto"/>
          <w:kern w:val="2"/>
          <w:sz w:val="28"/>
          <w:szCs w:val="28"/>
          <w:lang w:val="en-US" w:eastAsia="zh-CN" w:bidi="ar-SA"/>
        </w:rPr>
        <w:t>-</w:t>
      </w:r>
      <w:r>
        <w:rPr>
          <w:rFonts w:hint="default" w:ascii="宋体" w:hAnsi="宋体" w:eastAsia="宋体" w:cs="宋体"/>
          <w:color w:val="auto"/>
          <w:kern w:val="2"/>
          <w:sz w:val="28"/>
          <w:szCs w:val="28"/>
          <w:lang w:bidi="ar-SA"/>
        </w:rPr>
        <w:t>EA）的相关内容，包括其发展背景、概念、与其他框架的关系、测量实施和应用，以及在生态系统范围、条件、服务核算等方面的具体应用</w:t>
      </w:r>
      <w:r>
        <w:rPr>
          <w:rFonts w:hint="default" w:cs="宋体"/>
          <w:color w:val="auto"/>
          <w:kern w:val="2"/>
          <w:sz w:val="28"/>
          <w:szCs w:val="28"/>
          <w:lang w:eastAsia="zh-CN" w:bidi="ar-SA"/>
        </w:rPr>
        <w:t>，</w:t>
      </w:r>
      <w:r>
        <w:rPr>
          <w:rFonts w:hint="default" w:ascii="宋体" w:hAnsi="宋体" w:eastAsia="宋体" w:cs="宋体"/>
          <w:color w:val="auto"/>
          <w:kern w:val="2"/>
          <w:sz w:val="28"/>
          <w:szCs w:val="28"/>
          <w:lang w:bidi="ar-SA"/>
        </w:rPr>
        <w:t>旨在建立一个衡量生态系统与经济活动相互关系的统计框架，以应对环境与经济发展的挑战</w:t>
      </w:r>
      <w:r>
        <w:rPr>
          <w:rFonts w:hint="default" w:cs="宋体"/>
          <w:color w:val="auto"/>
          <w:kern w:val="2"/>
          <w:sz w:val="28"/>
          <w:szCs w:val="28"/>
          <w:lang w:eastAsia="zh-CN" w:bidi="ar-SA"/>
        </w:rPr>
        <w:t>。</w:t>
      </w:r>
      <w:r>
        <w:rPr>
          <w:rFonts w:hint="default" w:ascii="宋体" w:hAnsi="宋体" w:eastAsia="宋体" w:cs="宋体"/>
          <w:color w:val="auto"/>
          <w:kern w:val="2"/>
          <w:sz w:val="28"/>
          <w:szCs w:val="28"/>
          <w:lang w:bidi="ar-SA"/>
        </w:rPr>
        <w:t>SEEA</w:t>
      </w:r>
      <w:r>
        <w:rPr>
          <w:rFonts w:hint="eastAsia" w:cs="宋体"/>
          <w:color w:val="auto"/>
          <w:kern w:val="2"/>
          <w:sz w:val="28"/>
          <w:szCs w:val="28"/>
          <w:lang w:val="en-US" w:eastAsia="zh-CN" w:bidi="ar-SA"/>
        </w:rPr>
        <w:t>-</w:t>
      </w:r>
      <w:r>
        <w:rPr>
          <w:rFonts w:hint="default" w:ascii="宋体" w:hAnsi="宋体" w:eastAsia="宋体" w:cs="宋体"/>
          <w:color w:val="auto"/>
          <w:kern w:val="2"/>
          <w:sz w:val="28"/>
          <w:szCs w:val="28"/>
          <w:lang w:bidi="ar-SA"/>
        </w:rPr>
        <w:t>EA于2021年被联合国统计委员会采纳为国际统计标准。</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制定标准的必要性和意义</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开展自然资源资产核算是践行习近平总书记“绿水青山就是金山银山”</w:t>
      </w:r>
      <w:r>
        <w:rPr>
          <w:rFonts w:hint="eastAsia" w:cs="宋体"/>
          <w:color w:val="auto"/>
          <w:kern w:val="2"/>
          <w:sz w:val="28"/>
          <w:szCs w:val="28"/>
          <w:lang w:val="en-US" w:eastAsia="zh-CN" w:bidi="ar-SA"/>
        </w:rPr>
        <w:t>理念</w:t>
      </w:r>
      <w:r>
        <w:rPr>
          <w:rFonts w:hint="eastAsia" w:ascii="宋体" w:hAnsi="宋体" w:eastAsia="宋体" w:cs="宋体"/>
          <w:color w:val="auto"/>
          <w:kern w:val="2"/>
          <w:sz w:val="28"/>
          <w:szCs w:val="28"/>
          <w:lang w:val="en-US" w:eastAsia="zh-CN" w:bidi="ar-SA"/>
        </w:rPr>
        <w:t>的重要举措，也是将自然资源资产效益纳入</w:t>
      </w:r>
      <w:r>
        <w:rPr>
          <w:rFonts w:hint="eastAsia" w:cs="宋体"/>
          <w:color w:val="auto"/>
          <w:kern w:val="2"/>
          <w:sz w:val="28"/>
          <w:szCs w:val="28"/>
          <w:lang w:val="en-US" w:eastAsia="zh-CN" w:bidi="ar-SA"/>
        </w:rPr>
        <w:t>国家</w:t>
      </w:r>
      <w:r>
        <w:rPr>
          <w:rFonts w:hint="eastAsia" w:ascii="宋体" w:hAnsi="宋体" w:eastAsia="宋体" w:cs="宋体"/>
          <w:color w:val="auto"/>
          <w:kern w:val="2"/>
          <w:sz w:val="28"/>
          <w:szCs w:val="28"/>
          <w:lang w:val="en-US" w:eastAsia="zh-CN" w:bidi="ar-SA"/>
        </w:rPr>
        <w:t>经济社会发展决策的重要内容。2019年8月，《中共中央 国务院关于支持深圳建设中国特色社会主义先行示范区的意见》中提出“深化自然资源管理制度改革，探索实施生态系统服务价值核算制度”，要求深圳先行先试开展自然资源资产评估核算工作。</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cs="宋体"/>
          <w:color w:val="auto"/>
          <w:kern w:val="2"/>
          <w:sz w:val="28"/>
          <w:szCs w:val="28"/>
          <w:lang w:bidi="ar-SA"/>
        </w:rPr>
      </w:pPr>
      <w:r>
        <w:rPr>
          <w:rFonts w:hint="eastAsia" w:ascii="宋体" w:hAnsi="宋体" w:eastAsia="宋体" w:cs="宋体"/>
          <w:color w:val="auto"/>
          <w:kern w:val="2"/>
          <w:sz w:val="28"/>
          <w:szCs w:val="28"/>
          <w:lang w:val="en-US" w:eastAsia="zh-CN" w:bidi="ar-SA"/>
        </w:rPr>
        <w:t>为全面、科学、精确、及时掌握海洋自然资源资产家底，更好地服务于自然资源资产有偿使用、</w:t>
      </w:r>
      <w:r>
        <w:rPr>
          <w:rFonts w:hint="eastAsia" w:cs="宋体"/>
          <w:color w:val="auto"/>
          <w:kern w:val="2"/>
          <w:sz w:val="28"/>
          <w:szCs w:val="28"/>
          <w:lang w:val="en-US" w:eastAsia="zh-CN" w:bidi="ar-SA"/>
        </w:rPr>
        <w:t>考核评价</w:t>
      </w:r>
      <w:r>
        <w:rPr>
          <w:rFonts w:hint="eastAsia" w:ascii="宋体" w:hAnsi="宋体" w:eastAsia="宋体" w:cs="宋体"/>
          <w:color w:val="auto"/>
          <w:kern w:val="2"/>
          <w:sz w:val="28"/>
          <w:szCs w:val="28"/>
          <w:lang w:val="en-US" w:eastAsia="zh-CN" w:bidi="ar-SA"/>
        </w:rPr>
        <w:t>等深圳市自然资源</w:t>
      </w:r>
      <w:r>
        <w:rPr>
          <w:rFonts w:hint="eastAsia" w:cs="宋体"/>
          <w:color w:val="auto"/>
          <w:kern w:val="2"/>
          <w:sz w:val="28"/>
          <w:szCs w:val="28"/>
          <w:lang w:val="en-US" w:eastAsia="zh-CN" w:bidi="ar-SA"/>
        </w:rPr>
        <w:t>资产</w:t>
      </w:r>
      <w:r>
        <w:rPr>
          <w:rFonts w:hint="eastAsia" w:ascii="宋体" w:hAnsi="宋体" w:eastAsia="宋体" w:cs="宋体"/>
          <w:color w:val="auto"/>
          <w:kern w:val="2"/>
          <w:sz w:val="28"/>
          <w:szCs w:val="28"/>
          <w:lang w:val="en-US" w:eastAsia="zh-CN" w:bidi="ar-SA"/>
        </w:rPr>
        <w:t>管理工作，促进统一行使全民所有自然资源资产所有者职责，深圳市规划和自然资源局组织</w:t>
      </w:r>
      <w:r>
        <w:rPr>
          <w:rFonts w:hint="eastAsia" w:cs="宋体"/>
          <w:color w:val="auto"/>
          <w:kern w:val="2"/>
          <w:sz w:val="28"/>
          <w:szCs w:val="28"/>
          <w:lang w:val="en-US" w:eastAsia="zh-CN" w:bidi="ar-SA"/>
        </w:rPr>
        <w:t>编制</w:t>
      </w:r>
      <w:r>
        <w:rPr>
          <w:rFonts w:hint="eastAsia" w:ascii="宋体" w:hAnsi="宋体" w:eastAsia="宋体" w:cs="宋体"/>
          <w:color w:val="auto"/>
          <w:kern w:val="2"/>
          <w:sz w:val="28"/>
          <w:szCs w:val="28"/>
          <w:lang w:val="en-US" w:eastAsia="zh-CN" w:bidi="ar-SA"/>
        </w:rPr>
        <w:t>《海洋自然资源资产核算技术规范》</w:t>
      </w:r>
      <w:r>
        <w:rPr>
          <w:rFonts w:hint="eastAsia"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为海洋自然资源资产核算提供标准</w:t>
      </w:r>
      <w:r>
        <w:rPr>
          <w:rFonts w:hint="eastAsia" w:cs="宋体"/>
          <w:color w:val="auto"/>
          <w:kern w:val="2"/>
          <w:sz w:val="28"/>
          <w:szCs w:val="28"/>
          <w:lang w:val="en-US" w:eastAsia="zh-CN" w:bidi="ar-SA"/>
        </w:rPr>
        <w:t>技术</w:t>
      </w:r>
      <w:r>
        <w:rPr>
          <w:rFonts w:hint="eastAsia" w:ascii="宋体" w:hAnsi="宋体" w:eastAsia="宋体" w:cs="宋体"/>
          <w:color w:val="auto"/>
          <w:kern w:val="2"/>
          <w:sz w:val="28"/>
          <w:szCs w:val="28"/>
          <w:lang w:val="en-US" w:eastAsia="zh-CN" w:bidi="ar-SA"/>
        </w:rPr>
        <w:t>方法</w:t>
      </w:r>
      <w:r>
        <w:rPr>
          <w:rFonts w:hint="eastAsia"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形成具有科学性、可比性、客观性的核算标准</w:t>
      </w:r>
      <w:r>
        <w:rPr>
          <w:rFonts w:hint="eastAsia" w:cs="宋体"/>
          <w:color w:val="auto"/>
          <w:kern w:val="2"/>
          <w:sz w:val="28"/>
          <w:szCs w:val="28"/>
          <w:lang w:val="en-US" w:eastAsia="zh-CN" w:bidi="ar-SA"/>
        </w:rPr>
        <w:t>。本标准的制定</w:t>
      </w:r>
      <w:r>
        <w:rPr>
          <w:rFonts w:hint="eastAsia" w:ascii="宋体" w:hAnsi="宋体" w:eastAsia="宋体" w:cs="宋体"/>
          <w:color w:val="auto"/>
          <w:kern w:val="2"/>
          <w:sz w:val="28"/>
          <w:szCs w:val="28"/>
          <w:lang w:val="en-US" w:eastAsia="zh-CN" w:bidi="ar-SA"/>
        </w:rPr>
        <w:t>是落实中央自然资源改革要求的重要举措</w:t>
      </w:r>
      <w:r>
        <w:rPr>
          <w:rFonts w:hint="eastAsia" w:cs="宋体"/>
          <w:color w:val="auto"/>
          <w:kern w:val="2"/>
          <w:sz w:val="28"/>
          <w:szCs w:val="28"/>
          <w:lang w:val="en-US" w:eastAsia="zh-CN" w:bidi="ar-SA"/>
        </w:rPr>
        <w:t>，是</w:t>
      </w:r>
      <w:r>
        <w:rPr>
          <w:rFonts w:hint="eastAsia" w:ascii="宋体" w:hAnsi="宋体" w:eastAsia="宋体" w:cs="宋体"/>
          <w:color w:val="auto"/>
          <w:kern w:val="2"/>
          <w:sz w:val="28"/>
          <w:szCs w:val="28"/>
          <w:lang w:val="en-US" w:eastAsia="zh-CN" w:bidi="ar-SA"/>
        </w:rPr>
        <w:t>深圳建设全球海洋中心城市的</w:t>
      </w:r>
      <w:r>
        <w:rPr>
          <w:rFonts w:hint="eastAsia" w:cs="宋体"/>
          <w:color w:val="auto"/>
          <w:kern w:val="2"/>
          <w:sz w:val="28"/>
          <w:szCs w:val="28"/>
          <w:lang w:val="en-US" w:eastAsia="zh-CN" w:bidi="ar-SA"/>
        </w:rPr>
        <w:t>重要基础</w:t>
      </w:r>
      <w:r>
        <w:rPr>
          <w:rFonts w:hint="eastAsia" w:ascii="宋体" w:hAnsi="宋体" w:eastAsia="宋体" w:cs="宋体"/>
          <w:color w:val="auto"/>
          <w:kern w:val="2"/>
          <w:sz w:val="28"/>
          <w:szCs w:val="28"/>
          <w:lang w:val="en-US" w:eastAsia="zh-CN" w:bidi="ar-SA"/>
        </w:rPr>
        <w:t>，也是推进海洋自然资源</w:t>
      </w:r>
      <w:r>
        <w:rPr>
          <w:rFonts w:hint="eastAsia" w:cs="宋体"/>
          <w:color w:val="auto"/>
          <w:kern w:val="2"/>
          <w:sz w:val="28"/>
          <w:szCs w:val="28"/>
          <w:lang w:val="en-US" w:eastAsia="zh-CN" w:bidi="ar-SA"/>
        </w:rPr>
        <w:t>资产</w:t>
      </w:r>
      <w:r>
        <w:rPr>
          <w:rFonts w:hint="eastAsia" w:ascii="宋体" w:hAnsi="宋体" w:eastAsia="宋体" w:cs="宋体"/>
          <w:color w:val="auto"/>
          <w:kern w:val="2"/>
          <w:sz w:val="28"/>
          <w:szCs w:val="28"/>
          <w:lang w:val="en-US" w:eastAsia="zh-CN" w:bidi="ar-SA"/>
        </w:rPr>
        <w:t>精细化管理的关键抓手</w:t>
      </w:r>
      <w:r>
        <w:rPr>
          <w:rFonts w:hint="eastAsia" w:cs="宋体"/>
          <w:color w:val="auto"/>
          <w:kern w:val="2"/>
          <w:sz w:val="28"/>
          <w:szCs w:val="28"/>
          <w:lang w:val="en-US" w:eastAsia="zh-CN" w:bidi="ar-SA"/>
        </w:rPr>
        <w:t>。</w:t>
      </w:r>
    </w:p>
    <w:p>
      <w:pPr>
        <w:pStyle w:val="2"/>
        <w:widowControl w:val="0"/>
        <w:spacing w:before="160" w:beforeLines="-2147483648" w:beforeAutospacing="0" w:after="160" w:afterLines="-2147483648" w:afterAutospacing="0" w:line="240" w:lineRule="auto"/>
        <w:ind w:left="0"/>
        <w:rPr>
          <w:rFonts w:hint="eastAsia" w:ascii="黑体" w:hAnsi="黑体" w:eastAsia="黑体" w:cs="黑体"/>
          <w:b/>
          <w:bCs/>
          <w:color w:val="auto"/>
          <w:sz w:val="32"/>
          <w:szCs w:val="44"/>
          <w:lang w:val="en-US" w:eastAsia="zh-CN"/>
        </w:rPr>
      </w:pPr>
      <w:r>
        <w:rPr>
          <w:rFonts w:hint="eastAsia" w:ascii="黑体" w:hAnsi="黑体" w:eastAsia="黑体" w:cs="黑体"/>
          <w:b/>
          <w:bCs/>
          <w:color w:val="auto"/>
          <w:sz w:val="32"/>
          <w:szCs w:val="44"/>
          <w:lang w:val="en-US" w:eastAsia="zh-CN"/>
        </w:rPr>
        <w:t>工作简况</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任务来源</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深圳市地方标准《海洋自然资源资产核算技术规范》由深圳市规划和自然资源局提出并归口，是深圳市市场监督管理局下达的2024年第一批深圳市地方标准计划项目，由深圳市规划和自然资源局主导制定。</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编制过程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560" w:firstLineChars="200"/>
        <w:textAlignment w:val="auto"/>
        <w:rPr>
          <w:rFonts w:hint="eastAsia" w:asciiTheme="minorEastAsia" w:hAnsiTheme="minorEastAsia" w:eastAsiaTheme="minorEastAsia" w:cstheme="minorEastAsia"/>
          <w:color w:val="auto"/>
          <w:sz w:val="28"/>
          <w:szCs w:val="22"/>
          <w:lang w:val="en-US" w:eastAsia="zh-CN"/>
        </w:rPr>
      </w:pPr>
      <w:r>
        <w:rPr>
          <w:rFonts w:hint="eastAsia" w:asciiTheme="minorEastAsia" w:hAnsiTheme="minorEastAsia" w:eastAsiaTheme="minorEastAsia" w:cstheme="minorEastAsia"/>
          <w:color w:val="auto"/>
          <w:sz w:val="28"/>
          <w:szCs w:val="22"/>
          <w:lang w:val="en-US" w:eastAsia="zh-CN"/>
        </w:rPr>
        <w:t>1. 前期准备</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2021年11月，深圳市规划和自然资源局委托深圳市自然资源和不动产评估发展研究中心开展《深圳市全类型自然资源资产清查统计与评估核算（不含深汕合作区）》项目，开展土地、森林、矿产、水、湿地、草地和海洋等全类型七种自然资源资产评估核算研究工作。通过对海洋自然资源资产评估核算实施方法的专题研究，借鉴国内外相关经验，初步探索了海洋自然资源资产评估核算技术路线。2022年相继开展了全类型自然资源资产变更调查和评估核算，进一步优化完善了评估核算技术路线，具备研究成果转化为技术标准的现实基础。</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仿宋_GB2312" w:cs="Times New Roman"/>
          <w:color w:val="auto"/>
          <w:sz w:val="32"/>
          <w:szCs w:val="22"/>
          <w:lang w:val="en-US" w:eastAsia="zh-CN"/>
        </w:rPr>
      </w:pPr>
      <w:r>
        <w:rPr>
          <w:rFonts w:hint="eastAsia" w:ascii="宋体" w:hAnsi="宋体" w:eastAsia="宋体" w:cs="宋体"/>
          <w:color w:val="auto"/>
          <w:kern w:val="2"/>
          <w:sz w:val="28"/>
          <w:szCs w:val="28"/>
          <w:lang w:val="en-US" w:eastAsia="zh-CN" w:bidi="ar-SA"/>
        </w:rPr>
        <w:t>项目承担单位组建了一</w:t>
      </w:r>
      <w:r>
        <w:rPr>
          <w:rFonts w:hint="eastAsia" w:cs="宋体"/>
          <w:color w:val="auto"/>
          <w:kern w:val="2"/>
          <w:sz w:val="28"/>
          <w:szCs w:val="28"/>
          <w:lang w:val="en-US" w:eastAsia="zh-CN" w:bidi="ar-SA"/>
        </w:rPr>
        <w:t>支</w:t>
      </w:r>
      <w:r>
        <w:rPr>
          <w:rFonts w:hint="eastAsia" w:ascii="宋体" w:hAnsi="宋体" w:eastAsia="宋体" w:cs="宋体"/>
          <w:color w:val="auto"/>
          <w:kern w:val="2"/>
          <w:sz w:val="28"/>
          <w:szCs w:val="28"/>
          <w:lang w:val="en-US" w:eastAsia="zh-CN" w:bidi="ar-SA"/>
        </w:rPr>
        <w:t>高素质的人才队伍，研究团队超过10人，以博士为主，专业涵盖环境科学、海洋科学、生态学、经济学、法</w:t>
      </w:r>
      <w:r>
        <w:rPr>
          <w:rFonts w:hint="eastAsia" w:cs="宋体"/>
          <w:color w:val="auto"/>
          <w:kern w:val="2"/>
          <w:sz w:val="28"/>
          <w:szCs w:val="28"/>
          <w:lang w:val="en-US" w:eastAsia="zh-CN" w:bidi="ar-SA"/>
        </w:rPr>
        <w:t>学</w:t>
      </w:r>
      <w:r>
        <w:rPr>
          <w:rFonts w:hint="eastAsia" w:ascii="宋体" w:hAnsi="宋体" w:eastAsia="宋体" w:cs="宋体"/>
          <w:color w:val="auto"/>
          <w:kern w:val="2"/>
          <w:sz w:val="28"/>
          <w:szCs w:val="28"/>
          <w:lang w:val="en-US" w:eastAsia="zh-CN" w:bidi="ar-SA"/>
        </w:rPr>
        <w:t>等多个专业。在前述项目研究中，项目团队已开展大量的国内外研究梳理、野外调研、专家咨询和项目研讨等工作，包括：</w:t>
      </w:r>
      <w:r>
        <w:rPr>
          <w:rFonts w:hint="eastAsia" w:cs="宋体"/>
          <w:color w:val="auto"/>
          <w:kern w:val="2"/>
          <w:sz w:val="28"/>
          <w:szCs w:val="28"/>
          <w:lang w:val="en-US" w:eastAsia="zh-CN" w:bidi="ar-SA"/>
        </w:rPr>
        <w:t>一是</w:t>
      </w:r>
      <w:r>
        <w:rPr>
          <w:rFonts w:hint="eastAsia" w:ascii="宋体" w:hAnsi="宋体" w:eastAsia="宋体" w:cs="宋体"/>
          <w:color w:val="auto"/>
          <w:kern w:val="2"/>
          <w:sz w:val="28"/>
          <w:szCs w:val="28"/>
          <w:lang w:val="en-US" w:eastAsia="zh-CN" w:bidi="ar-SA"/>
        </w:rPr>
        <w:t>系统梳理国内外自然资源资产评估核算研究，掌握自然资源资产评估核算前沿</w:t>
      </w:r>
      <w:r>
        <w:rPr>
          <w:rFonts w:hint="eastAsia" w:cs="宋体"/>
          <w:color w:val="auto"/>
          <w:kern w:val="2"/>
          <w:sz w:val="28"/>
          <w:szCs w:val="28"/>
          <w:lang w:val="en-US" w:eastAsia="zh-CN" w:bidi="ar-SA"/>
        </w:rPr>
        <w:t>；二是</w:t>
      </w:r>
      <w:r>
        <w:rPr>
          <w:rFonts w:hint="eastAsia" w:ascii="宋体" w:hAnsi="宋体" w:eastAsia="宋体" w:cs="宋体"/>
          <w:color w:val="auto"/>
          <w:kern w:val="2"/>
          <w:sz w:val="28"/>
          <w:szCs w:val="28"/>
          <w:lang w:val="en-US" w:eastAsia="zh-CN" w:bidi="ar-SA"/>
        </w:rPr>
        <w:t>开展深圳市海域野外采样和实地踏勘工作，系统掌握了深圳市海洋自然资源禀赋与海洋开发利用状况</w:t>
      </w:r>
      <w:r>
        <w:rPr>
          <w:rFonts w:hint="eastAsia" w:cs="宋体"/>
          <w:color w:val="auto"/>
          <w:kern w:val="2"/>
          <w:sz w:val="28"/>
          <w:szCs w:val="28"/>
          <w:lang w:val="en-US" w:eastAsia="zh-CN" w:bidi="ar-SA"/>
        </w:rPr>
        <w:t>；三是</w:t>
      </w:r>
      <w:r>
        <w:rPr>
          <w:rFonts w:hint="eastAsia" w:ascii="宋体" w:hAnsi="宋体" w:eastAsia="宋体" w:cs="宋体"/>
          <w:color w:val="auto"/>
          <w:kern w:val="2"/>
          <w:sz w:val="28"/>
          <w:szCs w:val="28"/>
          <w:lang w:val="en-US" w:eastAsia="zh-CN" w:bidi="ar-SA"/>
        </w:rPr>
        <w:t>咨询中国海洋大学、中科院、自然资源部第一海洋研究所等相关研究机构和专家意见；</w:t>
      </w:r>
      <w:r>
        <w:rPr>
          <w:rFonts w:hint="eastAsia" w:cs="宋体"/>
          <w:color w:val="auto"/>
          <w:kern w:val="2"/>
          <w:sz w:val="28"/>
          <w:szCs w:val="28"/>
          <w:lang w:val="en-US" w:eastAsia="zh-CN" w:bidi="ar-SA"/>
        </w:rPr>
        <w:t>四是</w:t>
      </w:r>
      <w:r>
        <w:rPr>
          <w:rFonts w:hint="eastAsia" w:ascii="宋体" w:hAnsi="宋体" w:eastAsia="宋体" w:cs="宋体"/>
          <w:color w:val="auto"/>
          <w:kern w:val="2"/>
          <w:sz w:val="28"/>
          <w:szCs w:val="28"/>
          <w:lang w:val="en-US" w:eastAsia="zh-CN" w:bidi="ar-SA"/>
        </w:rPr>
        <w:t>调研市生态环境局、市海洋发展促进研究中心等内容相关单位</w:t>
      </w:r>
      <w:r>
        <w:rPr>
          <w:rFonts w:hint="eastAsia" w:cs="宋体"/>
          <w:color w:val="auto"/>
          <w:kern w:val="2"/>
          <w:sz w:val="28"/>
          <w:szCs w:val="28"/>
          <w:lang w:val="en-US" w:eastAsia="zh-CN" w:bidi="ar-SA"/>
        </w:rPr>
        <w:t>，为本标准的制定打下坚实基础。</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0" w:after="0"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标准立项</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2024年2月，根据深圳市市场监督管理局关于开展2024年度深圳市地方标准修订计划项目征集工作的通知，深圳市规划和自然资源局组织人员</w:t>
      </w:r>
      <w:r>
        <w:rPr>
          <w:rFonts w:hint="eastAsia" w:cs="宋体"/>
          <w:color w:val="auto"/>
          <w:kern w:val="2"/>
          <w:sz w:val="28"/>
          <w:szCs w:val="28"/>
          <w:lang w:val="en-US" w:eastAsia="zh-CN" w:bidi="ar-SA"/>
        </w:rPr>
        <w:t>开展标准立项申报</w:t>
      </w:r>
      <w:r>
        <w:rPr>
          <w:rFonts w:hint="eastAsia" w:ascii="宋体" w:hAnsi="宋体" w:eastAsia="宋体" w:cs="宋体"/>
          <w:color w:val="auto"/>
          <w:kern w:val="2"/>
          <w:sz w:val="28"/>
          <w:szCs w:val="28"/>
          <w:lang w:val="en-US" w:eastAsia="zh-CN" w:bidi="ar-SA"/>
        </w:rPr>
        <w:t>，4月7日，</w:t>
      </w:r>
      <w:r>
        <w:rPr>
          <w:rFonts w:hint="eastAsia" w:cs="宋体"/>
          <w:color w:val="auto"/>
          <w:kern w:val="2"/>
          <w:sz w:val="28"/>
          <w:szCs w:val="28"/>
          <w:lang w:val="en-US" w:eastAsia="zh-CN" w:bidi="ar-SA"/>
        </w:rPr>
        <w:t>根据《</w:t>
      </w:r>
      <w:r>
        <w:rPr>
          <w:rFonts w:hint="eastAsia" w:ascii="宋体" w:hAnsi="宋体" w:eastAsia="宋体" w:cs="宋体"/>
          <w:color w:val="auto"/>
          <w:kern w:val="2"/>
          <w:sz w:val="28"/>
          <w:szCs w:val="28"/>
          <w:lang w:val="en-US" w:eastAsia="zh-CN" w:bidi="ar-SA"/>
        </w:rPr>
        <w:t>深圳市市场监督管理局关于下达2024年深圳市地方标准计划项目任务的通知</w:t>
      </w:r>
      <w:r>
        <w:rPr>
          <w:rFonts w:hint="eastAsia"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正式立项《海洋自然资源资产核算技术规范》。</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0" w:after="0" w:line="360" w:lineRule="auto"/>
        <w:ind w:firstLine="560" w:firstLineChars="200"/>
        <w:textAlignment w:val="auto"/>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标准草案编制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2024年5月</w:t>
      </w:r>
      <w:r>
        <w:rPr>
          <w:rFonts w:hint="eastAsia" w:ascii="宋体" w:hAnsi="宋体" w:eastAsia="宋体" w:cs="宋体"/>
          <w:color w:val="auto"/>
          <w:kern w:val="2"/>
          <w:sz w:val="28"/>
          <w:szCs w:val="28"/>
          <w:lang w:val="en-US" w:eastAsia="zh-CN" w:bidi="ar-SA"/>
        </w:rPr>
        <w:t>，项目立项后，主导编制单位深圳市规划和自然资源局成立标准编制组，标准编制组制定计划任务书，正式开始标准的研制工作。</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bidi="ar-SA"/>
        </w:rPr>
        <w:t>2024年4月</w:t>
      </w:r>
      <w:r>
        <w:rPr>
          <w:rFonts w:hint="eastAsia"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7月，标准</w:t>
      </w:r>
      <w:r>
        <w:rPr>
          <w:rFonts w:hint="eastAsia" w:cs="宋体"/>
          <w:color w:val="auto"/>
          <w:kern w:val="2"/>
          <w:sz w:val="28"/>
          <w:szCs w:val="28"/>
          <w:lang w:val="en-US" w:eastAsia="zh-CN" w:bidi="ar-SA"/>
        </w:rPr>
        <w:t>编制</w:t>
      </w:r>
      <w:r>
        <w:rPr>
          <w:rFonts w:hint="eastAsia" w:ascii="宋体" w:hAnsi="宋体" w:eastAsia="宋体" w:cs="宋体"/>
          <w:color w:val="auto"/>
          <w:kern w:val="2"/>
          <w:sz w:val="28"/>
          <w:szCs w:val="28"/>
          <w:lang w:val="en-US" w:eastAsia="zh-CN" w:bidi="ar-SA"/>
        </w:rPr>
        <w:t>组经过大量国内外研究、专家咨询、市内外调研，</w:t>
      </w:r>
      <w:r>
        <w:rPr>
          <w:rFonts w:hint="eastAsia" w:ascii="宋体" w:hAnsi="宋体" w:eastAsia="宋体" w:cs="宋体"/>
          <w:color w:val="auto"/>
          <w:kern w:val="2"/>
          <w:sz w:val="28"/>
          <w:szCs w:val="28"/>
          <w:lang w:val="en-US" w:eastAsia="zh-CN"/>
        </w:rPr>
        <w:t>确立了标准内容框架，</w:t>
      </w:r>
      <w:r>
        <w:rPr>
          <w:rFonts w:hint="eastAsia" w:cs="宋体"/>
          <w:color w:val="auto"/>
          <w:kern w:val="2"/>
          <w:sz w:val="28"/>
          <w:szCs w:val="28"/>
          <w:lang w:val="en-US" w:eastAsia="zh-CN"/>
        </w:rPr>
        <w:t>初步</w:t>
      </w:r>
      <w:r>
        <w:rPr>
          <w:rFonts w:hint="eastAsia" w:ascii="宋体" w:hAnsi="宋体" w:eastAsia="宋体" w:cs="宋体"/>
          <w:color w:val="auto"/>
          <w:kern w:val="2"/>
          <w:sz w:val="28"/>
          <w:szCs w:val="28"/>
          <w:lang w:val="en-US" w:eastAsia="zh-CN"/>
        </w:rPr>
        <w:t>形成《</w:t>
      </w:r>
      <w:r>
        <w:rPr>
          <w:rFonts w:hint="eastAsia" w:ascii="宋体" w:hAnsi="宋体" w:eastAsia="宋体" w:cs="宋体"/>
          <w:color w:val="auto"/>
          <w:kern w:val="2"/>
          <w:sz w:val="28"/>
          <w:szCs w:val="28"/>
          <w:lang w:val="en-US" w:eastAsia="zh-CN" w:bidi="ar-SA"/>
        </w:rPr>
        <w:t>海洋自然资源资产核算技术规范</w:t>
      </w:r>
      <w:r>
        <w:rPr>
          <w:rFonts w:hint="eastAsia" w:ascii="宋体" w:hAnsi="宋体" w:eastAsia="宋体" w:cs="宋体"/>
          <w:color w:val="auto"/>
          <w:kern w:val="2"/>
          <w:sz w:val="28"/>
          <w:szCs w:val="28"/>
          <w:lang w:val="en-US" w:eastAsia="zh-CN"/>
        </w:rPr>
        <w:t>》标准草案。</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0" w:after="0" w:line="360" w:lineRule="auto"/>
        <w:ind w:firstLine="560" w:firstLineChars="200"/>
        <w:textAlignment w:val="auto"/>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形成征求意见稿</w:t>
      </w:r>
      <w:bookmarkStart w:id="22" w:name="_GoBack"/>
      <w:bookmarkEnd w:id="22"/>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560" w:firstLineChars="200"/>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2024年8月起，标准编制组多次召开专题讨论会，论证确定标准的关键性核算方法及参数等各项内容。</w:t>
      </w:r>
      <w:r>
        <w:rPr>
          <w:rFonts w:hint="eastAsia" w:ascii="宋体" w:hAnsi="宋体" w:eastAsia="宋体" w:cs="宋体"/>
          <w:color w:val="auto"/>
          <w:kern w:val="2"/>
          <w:sz w:val="28"/>
          <w:szCs w:val="28"/>
          <w:lang w:val="en-US" w:eastAsia="zh-Hans"/>
        </w:rPr>
        <w:t>标</w:t>
      </w:r>
      <w:r>
        <w:rPr>
          <w:rFonts w:hint="eastAsia" w:ascii="宋体" w:hAnsi="宋体" w:eastAsia="宋体" w:cs="宋体"/>
          <w:color w:val="auto"/>
          <w:kern w:val="2"/>
          <w:sz w:val="28"/>
          <w:szCs w:val="28"/>
          <w:lang w:val="en-US" w:eastAsia="zh-CN"/>
        </w:rPr>
        <w:t>准编制组协同深圳市规划和自然资源局相关处室组织召开标准研讨会，对标准草案文本进行多次修改，于2024年10月形成标准征求意见稿。</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0" w:after="0" w:line="360" w:lineRule="auto"/>
        <w:ind w:firstLine="560" w:firstLineChars="200"/>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征求意见</w:t>
      </w:r>
    </w:p>
    <w:p>
      <w:pPr>
        <w:widowControl w:val="0"/>
        <w:adjustRightInd w:val="0"/>
        <w:snapToGrid w:val="0"/>
        <w:spacing w:before="0" w:after="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2024年11月15日，深圳市规划和自然资源局就已形成的标准征求意见稿，组织召开行业专家咨询讨论会，包括来自国家海洋技术中心、国家海洋环境监测中心、自然资源部南海发展研究院、中国水产科学研究院南海水产研究所、中国物品编码中心、深圳市先进质量管理技术研究院等6位专家，</w:t>
      </w:r>
      <w:r>
        <w:rPr>
          <w:rFonts w:hint="eastAsia" w:ascii="宋体" w:hAnsi="宋体" w:eastAsia="宋体" w:cs="宋体"/>
          <w:color w:val="auto"/>
          <w:sz w:val="28"/>
          <w:szCs w:val="28"/>
          <w:lang w:val="en-US" w:eastAsia="zh-Hans"/>
        </w:rPr>
        <w:t>对标准文本</w:t>
      </w:r>
      <w:r>
        <w:rPr>
          <w:rFonts w:hint="eastAsia" w:ascii="宋体" w:hAnsi="宋体" w:eastAsia="宋体" w:cs="宋体"/>
          <w:color w:val="auto"/>
          <w:sz w:val="28"/>
          <w:szCs w:val="28"/>
          <w:lang w:val="en-US" w:eastAsia="zh-CN"/>
        </w:rPr>
        <w:t>仔细逐条进行了</w:t>
      </w:r>
      <w:r>
        <w:rPr>
          <w:rFonts w:hint="eastAsia" w:ascii="宋体" w:hAnsi="宋体" w:eastAsia="宋体" w:cs="宋体"/>
          <w:color w:val="auto"/>
          <w:sz w:val="28"/>
          <w:szCs w:val="28"/>
          <w:lang w:val="en-US" w:eastAsia="zh-Hans"/>
        </w:rPr>
        <w:t>研讨</w:t>
      </w:r>
      <w:r>
        <w:rPr>
          <w:rFonts w:hint="eastAsia" w:ascii="宋体" w:hAnsi="宋体" w:eastAsia="宋体" w:cs="宋体"/>
          <w:color w:val="auto"/>
          <w:sz w:val="28"/>
          <w:szCs w:val="28"/>
          <w:lang w:val="en-US" w:eastAsia="zh-CN"/>
        </w:rPr>
        <w:t>。会上共征得意见29条，其中采纳28条，未采纳1条，标准编制组根据专家建议对标准文本进行了修订（见《征求意见汇总处理表》）。</w:t>
      </w:r>
    </w:p>
    <w:p>
      <w:pPr>
        <w:pStyle w:val="2"/>
        <w:widowControl w:val="0"/>
        <w:spacing w:before="160" w:beforeLines="-2147483648" w:beforeAutospacing="0" w:after="160" w:afterLines="-2147483648" w:afterAutospacing="0" w:line="240" w:lineRule="auto"/>
        <w:ind w:left="0"/>
        <w:rPr>
          <w:rFonts w:hint="eastAsia" w:ascii="黑体" w:hAnsi="黑体" w:eastAsia="黑体" w:cs="黑体"/>
          <w:b/>
          <w:bCs/>
          <w:color w:val="auto"/>
          <w:sz w:val="32"/>
          <w:szCs w:val="44"/>
          <w:lang w:val="en-US" w:eastAsia="zh-CN"/>
        </w:rPr>
      </w:pPr>
      <w:r>
        <w:rPr>
          <w:rFonts w:hint="eastAsia" w:ascii="黑体" w:hAnsi="黑体" w:eastAsia="黑体" w:cs="黑体"/>
          <w:b/>
          <w:bCs/>
          <w:color w:val="auto"/>
          <w:sz w:val="32"/>
          <w:szCs w:val="44"/>
          <w:lang w:val="en-US" w:eastAsia="zh-CN"/>
        </w:rPr>
        <w:t>地方标准主要内容的依据以及与国内领先、国际先进标准的对标情况</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制定原则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560" w:firstLineChars="200"/>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1. 科学性原则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560" w:firstLineChars="200"/>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通过深入研究国家及地方相关标准以及政策法规等相关文件，遵循科学性的标准编制的要求，运用科学严谨的方法建立了本标准文本。从科学客观的角度出发，根据特定目的，选择合适的核算方法，以充分的事实为依据，确保核算结果准确合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lang w:val="en-US" w:eastAsia="zh-CN"/>
        </w:rPr>
        <w:t>2. 可行性原则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560" w:firstLineChars="200"/>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highlight w:val="none"/>
          <w:lang w:val="en-US" w:eastAsia="zh-CN"/>
        </w:rPr>
        <w:t>标准的制定应适应经济、技术发展水平和相关工作需要</w:t>
      </w:r>
      <w:r>
        <w:rPr>
          <w:rFonts w:hint="eastAsia" w:ascii="宋体" w:hAnsi="宋体" w:eastAsia="宋体" w:cs="宋体"/>
          <w:color w:val="auto"/>
          <w:kern w:val="2"/>
          <w:sz w:val="28"/>
          <w:szCs w:val="28"/>
          <w:lang w:val="en-US" w:eastAsia="zh-CN"/>
        </w:rPr>
        <w:t>。本标准文本在参考国内外相关标准的基础上，充分考虑了技术普及现状，保证了标准的可行性。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560" w:firstLineChars="200"/>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3. 规范性原则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560" w:firstLineChars="200"/>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本标准文本依据GB/T 1.1—2020《标准化工作导则  第1部分：标准化文件的结构和起草规则》的要求进行编制，保证了规范性。</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制定依据</w:t>
      </w:r>
    </w:p>
    <w:p>
      <w:pPr>
        <w:widowControl w:val="0"/>
        <w:adjustRightInd w:val="0"/>
        <w:snapToGrid w:val="0"/>
        <w:spacing w:before="0" w:after="0" w:line="360" w:lineRule="auto"/>
        <w:ind w:firstLine="560" w:firstLineChars="2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本标准文本严格按照《标准化工作导则  第1部分：标准化文件的结构和起草规则》（GB/T 1.1－2020）的要求进行编写。</w:t>
      </w:r>
    </w:p>
    <w:p>
      <w:pPr>
        <w:widowControl w:val="0"/>
        <w:adjustRightInd w:val="0"/>
        <w:snapToGrid w:val="0"/>
        <w:spacing w:before="0" w:after="0" w:line="360" w:lineRule="auto"/>
        <w:ind w:firstLine="560" w:firstLineChars="200"/>
        <w:rPr>
          <w:rFonts w:hint="default"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第3章，术语和定义，参照了TD/T 1060—2021《自然资源分等定级通则》、DB37/T 4744—2024《海洋自然资源资产核算技术指南》、DB4403/T 430—2024《陆域自然资源资产核算技术规范》、TD/T 1088—2023《海域资源资产核算技术规程》中的相关描述。</w:t>
      </w:r>
    </w:p>
    <w:p>
      <w:pPr>
        <w:widowControl w:val="0"/>
        <w:adjustRightInd w:val="0"/>
        <w:snapToGrid w:val="0"/>
        <w:spacing w:before="0" w:after="0" w:line="360" w:lineRule="auto"/>
        <w:ind w:firstLine="560" w:firstLineChars="200"/>
        <w:rPr>
          <w:rFonts w:hint="default"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第4章，基本原则，主要参考深圳市地方标准DB4403/T 430—2024《陆域自然资源资产核算技术规范》中第4章基本原则的描述，同时，依据深圳市海洋资源资产核算的工作经验和实际情况编制。</w:t>
      </w:r>
    </w:p>
    <w:p>
      <w:pPr>
        <w:widowControl w:val="0"/>
        <w:numPr>
          <w:ilvl w:val="-1"/>
          <w:numId w:val="0"/>
        </w:numPr>
        <w:adjustRightInd w:val="0"/>
        <w:snapToGrid w:val="0"/>
        <w:spacing w:before="0" w:after="0" w:line="360" w:lineRule="auto"/>
        <w:ind w:firstLine="560" w:firstLineChars="200"/>
        <w:rPr>
          <w:rFonts w:hint="default"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第6章，核算流程，主要参考了深圳市地方标准DB4403/T 430—2024《陆域自然资源资产核算技术规范》中第6章核算流程相关内容的描述，同时依据</w:t>
      </w:r>
      <w:r>
        <w:rPr>
          <w:rFonts w:hint="eastAsia" w:ascii="宋体" w:hAnsi="宋体" w:eastAsia="宋体" w:cs="宋体"/>
          <w:color w:val="auto"/>
          <w:kern w:val="2"/>
          <w:sz w:val="28"/>
          <w:szCs w:val="28"/>
          <w:lang w:val="en-US" w:eastAsia="zh-CN" w:bidi="ar-SA"/>
        </w:rPr>
        <w:t>中华人民共和国自然资源部发布的</w:t>
      </w:r>
      <w:r>
        <w:rPr>
          <w:rFonts w:hint="eastAsia" w:ascii="宋体" w:hAnsi="宋体" w:eastAsia="宋体" w:cs="宋体"/>
          <w:color w:val="auto"/>
          <w:kern w:val="2"/>
          <w:sz w:val="28"/>
          <w:szCs w:val="28"/>
          <w:lang w:val="en-US" w:eastAsia="zh-CN"/>
        </w:rPr>
        <w:t>《全民所有自然资源资产清查技术指南（试行稿）》（2023年）中第十一章海洋资源资产清查相关要求和深圳市海洋资源资产核算的工作经验和实际情况而编制。</w:t>
      </w:r>
    </w:p>
    <w:p>
      <w:pPr>
        <w:widowControl w:val="0"/>
        <w:numPr>
          <w:ilvl w:val="-1"/>
          <w:numId w:val="0"/>
        </w:numPr>
        <w:adjustRightInd w:val="0"/>
        <w:snapToGrid w:val="0"/>
        <w:spacing w:before="0" w:after="0" w:line="360" w:lineRule="auto"/>
        <w:ind w:firstLine="560" w:firstLineChars="200"/>
        <w:rPr>
          <w:rFonts w:hint="default"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第7章，核算方法，主要参考了深圳市地方标准DB4403/T 430—2024《陆域自然资源资产核算技术规范》中第7章核算方法，</w:t>
      </w:r>
      <w:r>
        <w:rPr>
          <w:rFonts w:hint="eastAsia" w:ascii="宋体" w:hAnsi="宋体" w:eastAsia="宋体" w:cs="宋体"/>
          <w:color w:val="auto"/>
          <w:kern w:val="2"/>
          <w:sz w:val="28"/>
          <w:szCs w:val="28"/>
          <w:lang w:val="en-US" w:eastAsia="zh-CN" w:bidi="ar-SA"/>
        </w:rPr>
        <w:t>自然资源部发布的</w:t>
      </w:r>
      <w:r>
        <w:rPr>
          <w:rFonts w:hint="eastAsia" w:ascii="宋体" w:hAnsi="宋体" w:eastAsia="宋体" w:cs="宋体"/>
          <w:color w:val="auto"/>
          <w:kern w:val="2"/>
          <w:sz w:val="28"/>
          <w:szCs w:val="28"/>
          <w:lang w:val="en-US" w:eastAsia="zh-CN"/>
        </w:rPr>
        <w:t>《全民所有自然资源资产清查技术指南（试行稿）》（2023年）中第十一章海洋资源资产清查核算相关内容，GB/T 28058-2011 《海洋生态资本评估技术导则》相关标准内容的描述，同时，依据深圳市海洋资源资产核算的工作经验和实际情况而编制。</w:t>
      </w:r>
    </w:p>
    <w:p>
      <w:pPr>
        <w:widowControl w:val="0"/>
        <w:numPr>
          <w:ilvl w:val="-1"/>
          <w:numId w:val="0"/>
        </w:numPr>
        <w:adjustRightInd w:val="0"/>
        <w:snapToGrid w:val="0"/>
        <w:spacing w:before="0" w:after="0" w:line="360" w:lineRule="auto"/>
        <w:ind w:firstLine="560" w:firstLineChars="200"/>
        <w:rPr>
          <w:rFonts w:hint="default"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附录A，海洋自然资源资产经济、生态参数主要依据</w:t>
      </w:r>
      <w:r>
        <w:rPr>
          <w:rFonts w:hint="eastAsia" w:ascii="宋体" w:hAnsi="宋体" w:eastAsia="宋体" w:cs="宋体"/>
          <w:color w:val="auto"/>
          <w:kern w:val="2"/>
          <w:sz w:val="28"/>
          <w:szCs w:val="28"/>
          <w:lang w:val="en-US" w:eastAsia="zh-CN" w:bidi="ar-SA"/>
        </w:rPr>
        <w:t>自然资源部发布的</w:t>
      </w:r>
      <w:r>
        <w:rPr>
          <w:rFonts w:hint="eastAsia" w:ascii="宋体" w:hAnsi="宋体" w:eastAsia="宋体" w:cs="宋体"/>
          <w:color w:val="auto"/>
          <w:kern w:val="2"/>
          <w:sz w:val="28"/>
          <w:szCs w:val="28"/>
          <w:lang w:val="en-US" w:eastAsia="zh-CN"/>
        </w:rPr>
        <w:t>《全民所有自然资源资产清查技术指南（试行稿）》（2023年）、财政部和国家海洋局联合印发《财政部 国家海洋局印发&lt;关于调整海域无居民海岛使用金征收标准&gt;的通知》（财综〔2018〕15 号）和深圳市海洋资源资产价值核算数据收集的实际情况而编制。</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bookmarkStart w:id="0" w:name="_Toc8160"/>
      <w:r>
        <w:rPr>
          <w:rFonts w:hint="eastAsia" w:ascii="楷体" w:hAnsi="楷体" w:eastAsia="楷体" w:cs="楷体"/>
          <w:color w:val="auto"/>
          <w:kern w:val="0"/>
          <w:sz w:val="30"/>
          <w:szCs w:val="30"/>
          <w:lang w:val="en-US" w:eastAsia="zh-CN" w:bidi="ar"/>
        </w:rPr>
        <w:t>与国内外先进标准的对标情况</w:t>
      </w:r>
      <w:bookmarkEnd w:id="0"/>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after="0"/>
        <w:ind w:left="0" w:leftChars="0" w:firstLine="562" w:firstLineChars="200"/>
        <w:jc w:val="left"/>
        <w:textAlignment w:val="auto"/>
        <w:outlineLvl w:val="9"/>
        <w:rPr>
          <w:rFonts w:hint="eastAsia" w:asciiTheme="minorEastAsia" w:hAnsiTheme="minorEastAsia" w:eastAsiaTheme="minorEastAsia" w:cstheme="minorEastAsia"/>
          <w:color w:val="auto"/>
          <w:kern w:val="2"/>
          <w:sz w:val="28"/>
          <w:szCs w:val="28"/>
          <w:lang w:val="en-US" w:eastAsia="zh-CN" w:bidi="ar"/>
        </w:rPr>
      </w:pPr>
      <w:r>
        <w:rPr>
          <w:rFonts w:hint="eastAsia" w:asciiTheme="minorEastAsia" w:hAnsiTheme="minorEastAsia" w:eastAsiaTheme="minorEastAsia" w:cstheme="minorEastAsia"/>
          <w:b/>
          <w:bCs/>
          <w:color w:val="auto"/>
          <w:kern w:val="2"/>
          <w:sz w:val="28"/>
          <w:szCs w:val="28"/>
          <w:lang w:val="en-US" w:eastAsia="zh-CN" w:bidi="ar"/>
        </w:rPr>
        <w:t>国内探索和实践情况</w:t>
      </w:r>
      <w:r>
        <w:rPr>
          <w:rFonts w:hint="eastAsia" w:asciiTheme="minorEastAsia" w:hAnsiTheme="minorEastAsia" w:eastAsiaTheme="minorEastAsia" w:cstheme="minorEastAsia"/>
          <w:color w:val="auto"/>
          <w:kern w:val="2"/>
          <w:sz w:val="28"/>
          <w:szCs w:val="28"/>
          <w:lang w:val="en-US" w:eastAsia="zh-CN" w:bidi="ar"/>
        </w:rPr>
        <w:t>。国家统计局、生态环境部环境规划院、中国科学院生态环境研究中心、中国环境科学院等相关单位的研究团队对推动我国生态系统核算研究进展作出较大贡献。其中，国家统计局及一些学者对国际生态系统核算的相关理论做了引入介绍；中国科学院生态环境研究中心对GEP指标的开发做了大量试点测算，构建了GEP核算的理论体系与核算模型；生态环境部环境规划院对生态系统服务价值核算的实证方法研究进行大量实践。</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after="0"/>
        <w:ind w:left="0" w:leftChars="0" w:firstLine="560" w:firstLineChars="200"/>
        <w:jc w:val="left"/>
        <w:textAlignment w:val="auto"/>
        <w:outlineLvl w:val="9"/>
        <w:rPr>
          <w:rFonts w:hint="eastAsia" w:asciiTheme="minorEastAsia" w:hAnsiTheme="minorEastAsia" w:eastAsiaTheme="minorEastAsia" w:cstheme="minorEastAsia"/>
          <w:color w:val="auto"/>
          <w:kern w:val="2"/>
          <w:sz w:val="28"/>
          <w:szCs w:val="28"/>
          <w:lang w:val="en-US" w:eastAsia="zh-CN" w:bidi="ar"/>
        </w:rPr>
      </w:pPr>
      <w:r>
        <w:rPr>
          <w:rFonts w:hint="eastAsia" w:asciiTheme="minorEastAsia" w:hAnsiTheme="minorEastAsia" w:eastAsiaTheme="minorEastAsia" w:cstheme="minorEastAsia"/>
          <w:color w:val="auto"/>
          <w:kern w:val="2"/>
          <w:sz w:val="28"/>
          <w:szCs w:val="28"/>
          <w:lang w:val="en-US" w:eastAsia="zh-CN" w:bidi="ar"/>
        </w:rPr>
        <w:t>2020年，生态环境部出台《陆地生态系统生产总值核算技术指南》，以技术文件的形式指导和规范各省、自治区、直辖市开展生态产品总值（GEP）核算应用示范；2021年，中共中央办公厅和国务院办公厅印发《关于建立健全生态产品价值实现机制的意见》，设计生态产品价值实现机制的“1+6”制度框架；2022年，国家统计局联合国家发展和改革委员会印发《生态产品总值核算规范（试行）》，探索构建行政区域单元的GEP核算方案，推动了国家层面GEP核算结果的比较。</w:t>
      </w:r>
    </w:p>
    <w:p>
      <w:pPr>
        <w:keepNext w:val="0"/>
        <w:keepLines w:val="0"/>
        <w:pageBreakBefore w:val="0"/>
        <w:widowControl/>
        <w:kinsoku/>
        <w:wordWrap/>
        <w:overflowPunct/>
        <w:topLinePunct w:val="0"/>
        <w:autoSpaceDE/>
        <w:autoSpaceDN/>
        <w:bidi w:val="0"/>
        <w:adjustRightInd/>
        <w:snapToGrid/>
        <w:spacing w:before="0" w:after="0" w:line="240" w:lineRule="auto"/>
        <w:ind w:firstLine="562" w:firstLineChars="200"/>
        <w:textAlignment w:val="auto"/>
        <w:outlineLvl w:val="9"/>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国外探索和发展情况。</w:t>
      </w:r>
      <w:r>
        <w:rPr>
          <w:rFonts w:hint="eastAsia" w:asciiTheme="minorEastAsia" w:hAnsiTheme="minorEastAsia" w:eastAsiaTheme="minorEastAsia" w:cstheme="minorEastAsia"/>
          <w:b w:val="0"/>
          <w:bCs w:val="0"/>
          <w:color w:val="auto"/>
          <w:sz w:val="28"/>
          <w:szCs w:val="28"/>
          <w:lang w:val="en-US" w:eastAsia="zh-CN"/>
        </w:rPr>
        <w:t>1997年，美国白宫科学和技术政策办公室发起国家生态系统状况评估项目。评估将生态系统分为农田、森林、草地与灌木林、淡水、城镇、海岸与海洋六类，基于“分布和格局—化学和物理特征—生物组成—物质供给与服务”的评估框架，利用108项主要指标，从全国和生态系统两个尺度上，评估分析国家土地、水和生物状况及其变化，分别在2002年和2008年发布了两次评估报告，通过两次评估报告来看，美国生态评估主要基于相对固定的指标方法分析生态监测数据，客观反映生态系统变化的真实过程。2005年，英国下议院环境审计委员会发布的相关报告中提出开展英国生态系统评估工作的建议。2009-2011年由英国环境、食品和农村事物部组织实施了国家生态系统评估。评估将生态系统分为山—高沼地—荒地、半自然草原、封闭式农田、森林、淡水开阔水域、湿地—洪泛区、城镇、海岸、海洋8个一级类和32个二级类，基于“生态服务类—物质供给—人类福祉—变化驱动力”的评估框架，从国家和区域尺度上，评估国家陆地、淡水和海洋生态状况及其变化，分析生态系统变化对人类福祉的影响。</w:t>
      </w:r>
    </w:p>
    <w:p>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textAlignment w:val="auto"/>
        <w:outlineLvl w:val="9"/>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随着多部联合国文件的发布，在理论层面，生态系统核算已从一个概念性框架逐步发展成为一套兼具国际可比性及现实可操作性的有效核算理论；在实践层面，生态系统核算已成为评估自然对经济和人类影响的核心工具，为各国可持续发展政策的制定提供现实依据。《2020年全球环境经济核算评估报告》显示，2017年以来，实施生态系统核算的国家数量显著增多。截至2020年，全球共有89个国家开展了生态系统核算工作，相比2017年，实施生态系统核算的国家数量增加了29%。就地理区域而言，欧洲和北美地区开展生态系统核算工作的国家比例较高，而拉丁美洲和西亚地区该比例相对较低。</w:t>
      </w:r>
    </w:p>
    <w:p>
      <w:pPr>
        <w:keepNext w:val="0"/>
        <w:keepLines w:val="0"/>
        <w:pageBreakBefore w:val="0"/>
        <w:widowControl/>
        <w:kinsoku/>
        <w:wordWrap/>
        <w:overflowPunct/>
        <w:topLinePunct w:val="0"/>
        <w:autoSpaceDE/>
        <w:autoSpaceDN/>
        <w:bidi w:val="0"/>
        <w:adjustRightInd/>
        <w:snapToGrid/>
        <w:spacing w:before="0" w:after="0" w:line="240" w:lineRule="auto"/>
        <w:ind w:firstLine="562"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bCs w:val="0"/>
          <w:color w:val="auto"/>
          <w:sz w:val="28"/>
          <w:szCs w:val="28"/>
          <w:lang w:val="en-US" w:eastAsia="zh-CN"/>
        </w:rPr>
        <w:t>国内外标准情况总结。</w:t>
      </w:r>
      <w:r>
        <w:rPr>
          <w:rFonts w:hint="eastAsia" w:ascii="宋体" w:hAnsi="宋体" w:eastAsia="宋体" w:cs="宋体"/>
          <w:b w:val="0"/>
          <w:bCs/>
          <w:color w:val="auto"/>
          <w:sz w:val="28"/>
          <w:szCs w:val="28"/>
          <w:lang w:val="en-US" w:eastAsia="zh-CN"/>
        </w:rPr>
        <w:t>国内现行的核算标准缺乏对自然资源价值和整体性的考量。国外的</w:t>
      </w:r>
      <w:r>
        <w:rPr>
          <w:rFonts w:hint="eastAsia" w:asciiTheme="minorEastAsia" w:hAnsiTheme="minorEastAsia" w:eastAsiaTheme="minorEastAsia" w:cstheme="minorEastAsia"/>
          <w:b w:val="0"/>
          <w:bCs/>
          <w:color w:val="auto"/>
          <w:sz w:val="28"/>
          <w:szCs w:val="28"/>
          <w:lang w:val="en-US" w:eastAsia="zh-CN"/>
        </w:rPr>
        <w:t>标准</w:t>
      </w:r>
      <w:r>
        <w:rPr>
          <w:rFonts w:hint="eastAsia" w:ascii="宋体" w:hAnsi="宋体" w:eastAsia="宋体" w:cs="宋体"/>
          <w:b w:val="0"/>
          <w:bCs/>
          <w:color w:val="auto"/>
          <w:sz w:val="28"/>
          <w:szCs w:val="28"/>
          <w:lang w:val="en-US" w:eastAsia="zh-CN"/>
        </w:rPr>
        <w:t>研究主要着眼于生态系统整体性，未充分体现自然资源价值，甚至SEEA中心框架中的环境资产并未包括海洋。因此，现存的技术导则及规范在核算范围和资源禀赋适用性上存在一定局限性，无法满足深圳市海洋资源资产价值实现工作的需要，如《海洋生态资产评估技术导则》适用于海洋生态系统服务功能的评估工作，该导则中明确海洋生态资产价值是指海洋生态系统整体为人类提供海洋生态系统产品与服务，带来直接、间接或潜在经济利益的海洋生态资源资产的存量价值，但未考虑海洋资源自身价值和经济价值。综上，现存国家和行业标准所核算的适用范围不全面，存在一定的局限性。同时，以往规范中存在一些不符合深圳实际情况的指标体系。因此亟待开展能有效满足自然资源管理要求，符合深圳海洋资源特色的规范编制。</w:t>
      </w:r>
    </w:p>
    <w:p>
      <w:pPr>
        <w:pStyle w:val="2"/>
        <w:widowControl w:val="0"/>
        <w:spacing w:before="160" w:beforeLines="-2147483648" w:beforeAutospacing="0" w:after="160" w:afterLines="-2147483648" w:afterAutospacing="0" w:line="360" w:lineRule="auto"/>
        <w:ind w:left="0"/>
        <w:rPr>
          <w:rFonts w:hint="eastAsia" w:ascii="黑体" w:hAnsi="黑体" w:eastAsia="黑体" w:cs="黑体"/>
          <w:b/>
          <w:bCs/>
          <w:color w:val="auto"/>
          <w:sz w:val="32"/>
          <w:szCs w:val="44"/>
          <w:lang w:val="en-US" w:eastAsia="zh-CN"/>
        </w:rPr>
      </w:pPr>
      <w:bookmarkStart w:id="1" w:name="_Toc13131"/>
      <w:r>
        <w:rPr>
          <w:rFonts w:hint="eastAsia" w:ascii="黑体" w:hAnsi="黑体" w:eastAsia="黑体" w:cs="黑体"/>
          <w:b/>
          <w:bCs/>
          <w:color w:val="auto"/>
          <w:sz w:val="32"/>
          <w:szCs w:val="44"/>
          <w:lang w:val="en-US" w:eastAsia="zh-CN"/>
        </w:rPr>
        <w:t>主要条款的说明以及主要技术指标、参数、试验验证的论述</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范围</w:t>
      </w:r>
      <w:bookmarkEnd w:id="1"/>
    </w:p>
    <w:p>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auto"/>
        <w:ind w:left="0" w:leftChars="0" w:firstLine="560" w:firstLineChars="200"/>
        <w:textAlignment w:val="auto"/>
        <w:rPr>
          <w:rFonts w:hint="eastAsia" w:ascii="宋体" w:hAnsi="宋体" w:eastAsia="宋体" w:cs="宋体"/>
          <w:b w:val="0"/>
          <w:bCs/>
          <w:color w:val="auto"/>
          <w:kern w:val="2"/>
          <w:sz w:val="28"/>
          <w:szCs w:val="28"/>
          <w:lang w:val="en-US" w:eastAsia="zh-CN" w:bidi="ar-SA"/>
        </w:rPr>
      </w:pPr>
      <w:bookmarkStart w:id="2" w:name="_Toc5006"/>
      <w:r>
        <w:rPr>
          <w:rFonts w:hint="eastAsia" w:ascii="宋体" w:hAnsi="宋体" w:eastAsia="宋体" w:cs="宋体"/>
          <w:b w:val="0"/>
          <w:bCs/>
          <w:color w:val="auto"/>
          <w:kern w:val="2"/>
          <w:sz w:val="28"/>
          <w:szCs w:val="28"/>
          <w:lang w:val="en-US" w:eastAsia="zh-CN" w:bidi="ar-SA"/>
        </w:rPr>
        <w:t>本文件规定了海洋自然资源资产核算的基本原则、数据来源、核算流程和核算方法。</w:t>
      </w:r>
    </w:p>
    <w:p>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本文件适用于深圳市（</w:t>
      </w:r>
      <w:r>
        <w:rPr>
          <w:rFonts w:hint="eastAsia" w:hAnsi="宋体" w:cs="宋体"/>
          <w:b w:val="0"/>
          <w:bCs/>
          <w:color w:val="auto"/>
          <w:kern w:val="2"/>
          <w:sz w:val="28"/>
          <w:szCs w:val="28"/>
          <w:lang w:val="en-US" w:eastAsia="zh-CN" w:bidi="ar-SA"/>
        </w:rPr>
        <w:t>不</w:t>
      </w:r>
      <w:r>
        <w:rPr>
          <w:rFonts w:hint="eastAsia" w:ascii="宋体" w:hAnsi="宋体" w:eastAsia="宋体" w:cs="宋体"/>
          <w:b w:val="0"/>
          <w:bCs/>
          <w:color w:val="auto"/>
          <w:kern w:val="2"/>
          <w:sz w:val="28"/>
          <w:szCs w:val="28"/>
          <w:lang w:val="en-US" w:eastAsia="zh-CN" w:bidi="ar-SA"/>
        </w:rPr>
        <w:t>包括深汕特别合作区）海洋自然资源资产核算工作。</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规范性引用文件</w:t>
      </w:r>
      <w:bookmarkEnd w:id="2"/>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给出了本文件规范性引用文件的情况。本文件主要引用了GB/T 12763.2《海洋调查规范  第2部分：海洋水文观测》、GB/12763.4《海洋调查规范  第4部分：海洋调查规范海水化学要素观测》、GB/T 12763.6《海洋调查规范  第6部分：海洋生物调查》、GB/T 12763.9  《海洋调查规范  第9部分：海洋生态调查指南》、GB/T 28058《海洋生态资本评估技术导则》、HY/T 123《海域使用分类》、HY/T 0326《无居民海岛使用价格评估规程》、TD/T 1055《第三次全国国土调查技术规程》、HY 004《全国海岛资源综合调查档案分类法》、DB44/T 1889《无居民海岛使用权价值评估技术规范》中的相关内容。</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术语和定义</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为了更好地理解和使用本文件，参照国内外相关标准、文献、工具书，给出了自然资源、海洋自然资源、海洋自然资源资产、海洋自然资源资产经济价值、海洋自然资源资产生态价值等术语和定义。</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基本原则</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kern w:val="2"/>
          <w:sz w:val="28"/>
          <w:szCs w:val="28"/>
          <w:lang w:val="en-US" w:eastAsia="zh-CN" w:bidi="ar-SA"/>
        </w:rPr>
      </w:pPr>
      <w:bookmarkStart w:id="3" w:name="_Toc2589"/>
      <w:r>
        <w:rPr>
          <w:rFonts w:hint="eastAsia" w:ascii="宋体" w:hAnsi="宋体" w:eastAsia="宋体" w:cs="宋体"/>
          <w:color w:val="auto"/>
          <w:kern w:val="2"/>
          <w:sz w:val="28"/>
          <w:szCs w:val="28"/>
          <w:lang w:val="en-US" w:eastAsia="zh-CN" w:bidi="ar-SA"/>
        </w:rPr>
        <w:t>海洋自然资源资产核算应遵循科学性、可操作性、可比性原则、</w:t>
      </w:r>
      <w:bookmarkStart w:id="4" w:name="_Toc5734"/>
      <w:r>
        <w:rPr>
          <w:rFonts w:hint="eastAsia" w:ascii="宋体" w:hAnsi="宋体" w:eastAsia="宋体" w:cs="宋体"/>
          <w:color w:val="auto"/>
          <w:kern w:val="2"/>
          <w:sz w:val="28"/>
          <w:szCs w:val="28"/>
          <w:lang w:val="en-US" w:eastAsia="zh-CN" w:bidi="ar-SA"/>
        </w:rPr>
        <w:t>与自然资源调查监测、确权登记、等级评评价体系相衔接</w:t>
      </w:r>
      <w:bookmarkEnd w:id="4"/>
      <w:r>
        <w:rPr>
          <w:rFonts w:hint="eastAsia" w:ascii="宋体" w:hAnsi="宋体" w:eastAsia="宋体" w:cs="宋体"/>
          <w:color w:val="auto"/>
          <w:kern w:val="2"/>
          <w:sz w:val="28"/>
          <w:szCs w:val="28"/>
          <w:lang w:val="en-US" w:eastAsia="zh-CN" w:bidi="ar-SA"/>
        </w:rPr>
        <w:t>、</w:t>
      </w:r>
      <w:bookmarkStart w:id="5" w:name="_Toc9605"/>
      <w:r>
        <w:rPr>
          <w:rFonts w:hint="eastAsia" w:ascii="宋体" w:hAnsi="宋体" w:eastAsia="宋体" w:cs="宋体"/>
          <w:color w:val="auto"/>
          <w:kern w:val="2"/>
          <w:sz w:val="28"/>
          <w:szCs w:val="28"/>
          <w:lang w:val="en-US" w:eastAsia="zh-CN" w:bidi="ar-SA"/>
        </w:rPr>
        <w:t>以实物量核算为基础</w:t>
      </w:r>
      <w:bookmarkEnd w:id="5"/>
      <w:r>
        <w:rPr>
          <w:rFonts w:hint="eastAsia" w:ascii="宋体" w:hAnsi="宋体" w:eastAsia="宋体" w:cs="宋体"/>
          <w:color w:val="auto"/>
          <w:kern w:val="2"/>
          <w:sz w:val="28"/>
          <w:szCs w:val="28"/>
          <w:lang w:val="en-US" w:eastAsia="zh-CN" w:bidi="ar-SA"/>
        </w:rPr>
        <w:t>、</w:t>
      </w:r>
      <w:bookmarkStart w:id="6" w:name="_Toc22145"/>
      <w:r>
        <w:rPr>
          <w:rFonts w:hint="eastAsia" w:ascii="宋体" w:hAnsi="宋体" w:eastAsia="宋体" w:cs="宋体"/>
          <w:color w:val="auto"/>
          <w:kern w:val="2"/>
          <w:sz w:val="28"/>
          <w:szCs w:val="28"/>
          <w:lang w:val="en-US" w:eastAsia="zh-CN" w:bidi="ar-SA"/>
        </w:rPr>
        <w:t>以可实现价值为主导</w:t>
      </w:r>
      <w:bookmarkEnd w:id="6"/>
      <w:r>
        <w:rPr>
          <w:rFonts w:hint="eastAsia" w:ascii="宋体" w:hAnsi="宋体" w:eastAsia="宋体" w:cs="宋体"/>
          <w:color w:val="auto"/>
          <w:kern w:val="2"/>
          <w:sz w:val="28"/>
          <w:szCs w:val="28"/>
          <w:lang w:val="en-US" w:eastAsia="zh-CN" w:bidi="ar-SA"/>
        </w:rPr>
        <w:t>、清晰界定核算结果内涵、统筹自然资源功能特征的复合性与主导性等8个基本原则。</w:t>
      </w:r>
    </w:p>
    <w:bookmarkEnd w:id="3"/>
    <w:p>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数据来源</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海洋资源资产核算数据主要采用自然资源部门相关年度更新数据，包含岸线数据、海域勘界成果数据、领海界线数据、海域确权现状数据、围填海现状调查成果数据，无居民海岛调查数据、无居民海岛开发利用现状数据，海域和无居民海岛使用金，新版生态保护红线、自然保护地数据等；以及由海上调查、遥感监测、统计年鉴、统计公报、搜集文献、市场调查等方式获取的海洋生态环境数据以及市场价格数据。同时，明确了数据更新频次。</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核算流程</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kern w:val="2"/>
          <w:sz w:val="28"/>
          <w:szCs w:val="28"/>
          <w:lang w:val="en-US" w:eastAsia="zh-CN" w:bidi="ar-SA"/>
        </w:rPr>
      </w:pPr>
      <w:bookmarkStart w:id="7" w:name="_Toc66977608"/>
      <w:r>
        <w:rPr>
          <w:rFonts w:hint="eastAsia" w:ascii="宋体" w:hAnsi="宋体" w:eastAsia="宋体" w:cs="宋体"/>
          <w:color w:val="auto"/>
          <w:kern w:val="2"/>
          <w:sz w:val="28"/>
          <w:szCs w:val="28"/>
          <w:lang w:val="en-US" w:eastAsia="zh-CN" w:bidi="ar-SA"/>
        </w:rPr>
        <w:t>给出了海洋自然资源资产核算流程图。</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宋体" w:hAnsi="宋体" w:eastAsia="宋体" w:cs="宋体"/>
          <w:color w:val="auto"/>
          <w:kern w:val="2"/>
          <w:sz w:val="28"/>
          <w:szCs w:val="28"/>
          <w:lang w:val="en-US" w:eastAsia="zh-CN" w:bidi="ar-SA"/>
        </w:rPr>
      </w:pPr>
      <w:r>
        <w:rPr>
          <w:rFonts w:hint="eastAsia" w:ascii="楷体" w:hAnsi="楷体" w:eastAsia="楷体" w:cs="楷体"/>
          <w:color w:val="auto"/>
          <w:kern w:val="0"/>
          <w:sz w:val="30"/>
          <w:szCs w:val="30"/>
          <w:lang w:val="en-US" w:eastAsia="zh-CN" w:bidi="ar"/>
        </w:rPr>
        <w:t>核算方法</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给出了海洋自然资源资产价值的构成、海洋自然资源资产经济价值核算与海洋自然资源资产生态价值核算方法。</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1、海洋自然资源资产价值</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海洋自然资源资产价值包括海洋自然资源资产经济价值和海洋自然资源资产生态价值。</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bookmarkStart w:id="8" w:name="_Toc919"/>
      <w:r>
        <w:rPr>
          <w:rFonts w:hint="eastAsia" w:ascii="宋体" w:hAnsi="宋体" w:eastAsia="宋体" w:cs="宋体"/>
          <w:color w:val="auto"/>
          <w:kern w:val="2"/>
          <w:sz w:val="28"/>
          <w:szCs w:val="28"/>
          <w:lang w:val="en-US" w:eastAsia="zh-CN" w:bidi="ar-SA"/>
        </w:rPr>
        <w:t>2、核算单元</w:t>
      </w:r>
      <w:bookmarkEnd w:id="8"/>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海洋自然资源资产经济价值以具有使用权信息的宗海实际面积图斑为核算单元，面积汇总单位采用“公顷（hm</w:t>
      </w:r>
      <w:r>
        <w:rPr>
          <w:rFonts w:hint="eastAsia" w:ascii="宋体" w:hAnsi="宋体" w:eastAsia="宋体" w:cs="宋体"/>
          <w:color w:val="auto"/>
          <w:kern w:val="2"/>
          <w:sz w:val="28"/>
          <w:szCs w:val="28"/>
          <w:vertAlign w:val="superscript"/>
          <w:lang w:val="en-US" w:eastAsia="zh-CN" w:bidi="ar-SA"/>
        </w:rPr>
        <w:t>2</w:t>
      </w:r>
      <w:r>
        <w:rPr>
          <w:rFonts w:hint="eastAsia" w:ascii="宋体" w:hAnsi="宋体" w:eastAsia="宋体" w:cs="宋体"/>
          <w:color w:val="auto"/>
          <w:kern w:val="2"/>
          <w:sz w:val="28"/>
          <w:szCs w:val="28"/>
          <w:lang w:val="en-US" w:eastAsia="zh-CN" w:bidi="ar-SA"/>
        </w:rPr>
        <w:t>）”表示；对于没有使用权信息的海域和无居民海岛，以每公顷为核算单元。根据海洋自然资源连贯性和流通性等特点，对于自然条件差异不明显的靠近外海区域，生态价值核算以每平方公里（km</w:t>
      </w:r>
      <w:r>
        <w:rPr>
          <w:rFonts w:hint="eastAsia" w:ascii="宋体" w:hAnsi="宋体" w:eastAsia="宋体" w:cs="宋体"/>
          <w:color w:val="auto"/>
          <w:kern w:val="2"/>
          <w:sz w:val="28"/>
          <w:szCs w:val="28"/>
          <w:vertAlign w:val="superscript"/>
          <w:lang w:val="en-US" w:eastAsia="zh-CN" w:bidi="ar-SA"/>
        </w:rPr>
        <w:t>2</w:t>
      </w:r>
      <w:r>
        <w:rPr>
          <w:rFonts w:hint="eastAsia" w:ascii="宋体" w:hAnsi="宋体" w:eastAsia="宋体" w:cs="宋体"/>
          <w:color w:val="auto"/>
          <w:kern w:val="2"/>
          <w:sz w:val="28"/>
          <w:szCs w:val="28"/>
          <w:lang w:val="en-US" w:eastAsia="zh-CN" w:bidi="ar-SA"/>
        </w:rPr>
        <w:t>）为核算单元；自然条件差异状况变动较大的近岸海域，核算单元可调整为每公顷。</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3、海洋自然资源资产经济价值核算</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（1）基本要求</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海洋自然资源资产经济价值核算频率为年度，海域和无居民海岛分别采用海域使用金和无居民海岛使用金进行核算。</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（2）海洋自然资源资产经济价值核算方法</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分别列出了已取得海域使用权海域、尚未取得海域使用权的已填成陆区域、</w:t>
      </w:r>
      <w:bookmarkStart w:id="9" w:name="_Toc21525"/>
      <w:r>
        <w:rPr>
          <w:rFonts w:hint="eastAsia" w:ascii="宋体" w:hAnsi="宋体" w:eastAsia="宋体" w:cs="宋体"/>
          <w:color w:val="auto"/>
          <w:kern w:val="2"/>
          <w:sz w:val="28"/>
          <w:szCs w:val="28"/>
          <w:lang w:val="en-US" w:eastAsia="zh-CN" w:bidi="ar-SA"/>
        </w:rPr>
        <w:t>尚未取得海域使用权的未填成陆区域</w:t>
      </w:r>
      <w:bookmarkEnd w:id="9"/>
      <w:r>
        <w:rPr>
          <w:rFonts w:hint="eastAsia" w:ascii="宋体" w:hAnsi="宋体" w:eastAsia="宋体" w:cs="宋体"/>
          <w:color w:val="auto"/>
          <w:kern w:val="2"/>
          <w:sz w:val="28"/>
          <w:szCs w:val="28"/>
          <w:lang w:val="en-US" w:eastAsia="zh-CN" w:bidi="ar-SA"/>
        </w:rPr>
        <w:t>的自然资源资产经济价值核算方法。</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4、海洋自然资源资产生态价值核算方法</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bookmarkStart w:id="10" w:name="_Toc13142"/>
      <w:r>
        <w:rPr>
          <w:rFonts w:hint="eastAsia" w:ascii="宋体" w:hAnsi="宋体" w:eastAsia="宋体" w:cs="宋体"/>
          <w:color w:val="auto"/>
          <w:kern w:val="2"/>
          <w:sz w:val="28"/>
          <w:szCs w:val="28"/>
          <w:lang w:val="en-US" w:eastAsia="zh-CN" w:bidi="ar-SA"/>
        </w:rPr>
        <w:t>给出了海洋自然资源资产生态价值核算的</w:t>
      </w:r>
      <w:r>
        <w:rPr>
          <w:rFonts w:hint="default" w:ascii="宋体" w:hAnsi="宋体" w:eastAsia="宋体" w:cs="宋体"/>
          <w:color w:val="auto"/>
          <w:kern w:val="2"/>
          <w:sz w:val="28"/>
          <w:szCs w:val="28"/>
          <w:lang w:val="en-US" w:eastAsia="zh-CN" w:bidi="ar-SA"/>
        </w:rPr>
        <w:t>技术路线</w:t>
      </w:r>
      <w:bookmarkEnd w:id="10"/>
      <w:r>
        <w:rPr>
          <w:rFonts w:hint="eastAsia" w:ascii="宋体" w:hAnsi="宋体" w:eastAsia="宋体" w:cs="宋体"/>
          <w:color w:val="auto"/>
          <w:kern w:val="2"/>
          <w:sz w:val="28"/>
          <w:szCs w:val="28"/>
          <w:lang w:val="en-US" w:eastAsia="zh-CN" w:bidi="ar-SA"/>
        </w:rPr>
        <w:t>、</w:t>
      </w:r>
      <w:r>
        <w:rPr>
          <w:rFonts w:hint="default" w:ascii="宋体" w:hAnsi="宋体" w:eastAsia="宋体" w:cs="宋体"/>
          <w:color w:val="auto"/>
          <w:kern w:val="2"/>
          <w:sz w:val="28"/>
          <w:szCs w:val="28"/>
          <w:lang w:val="en-US" w:eastAsia="zh-CN" w:bidi="ar-SA"/>
        </w:rPr>
        <w:t>具体步骤</w:t>
      </w:r>
      <w:r>
        <w:rPr>
          <w:rFonts w:hint="eastAsia" w:ascii="宋体" w:hAnsi="宋体" w:eastAsia="宋体" w:cs="宋体"/>
          <w:color w:val="auto"/>
          <w:kern w:val="2"/>
          <w:sz w:val="28"/>
          <w:szCs w:val="28"/>
          <w:lang w:val="en-US" w:eastAsia="zh-CN" w:bidi="ar-SA"/>
        </w:rPr>
        <w:t>。</w:t>
      </w:r>
    </w:p>
    <w:p>
      <w:pPr>
        <w:pageBreakBefore w:val="0"/>
        <w:widowControl w:val="0"/>
        <w:numPr>
          <w:ilvl w:val="0"/>
          <w:numId w:val="9"/>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技术路线</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给出了</w:t>
      </w:r>
      <w:r>
        <w:rPr>
          <w:rFonts w:hint="default" w:ascii="宋体" w:hAnsi="宋体" w:eastAsia="宋体" w:cs="宋体"/>
          <w:color w:val="auto"/>
          <w:kern w:val="2"/>
          <w:sz w:val="28"/>
          <w:szCs w:val="28"/>
          <w:lang w:val="en-US" w:eastAsia="zh-CN" w:bidi="ar-SA"/>
        </w:rPr>
        <w:t>海洋自然资源资产生态价值核算具体技术路线</w:t>
      </w:r>
      <w:r>
        <w:rPr>
          <w:rFonts w:hint="eastAsia" w:ascii="宋体" w:hAnsi="宋体" w:eastAsia="宋体" w:cs="宋体"/>
          <w:color w:val="auto"/>
          <w:kern w:val="2"/>
          <w:sz w:val="28"/>
          <w:szCs w:val="28"/>
          <w:lang w:val="en-US" w:eastAsia="zh-CN" w:bidi="ar-SA"/>
        </w:rPr>
        <w:t>图。</w:t>
      </w:r>
    </w:p>
    <w:p>
      <w:pPr>
        <w:pageBreakBefore w:val="0"/>
        <w:widowControl w:val="0"/>
        <w:numPr>
          <w:ilvl w:val="0"/>
          <w:numId w:val="9"/>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具体步骤</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海洋自然资源资产生态价值核算具体步骤按自然基点参数选取、自然基点参数标准化、自然基点参数权重的确定、海洋初级自然基点计算、海洋生态格局系数、一级自然基点计算、自然基点货币化、核算结果确定执行，并分别给出了每步的具体操作方式。</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120" w:after="240"/>
        <w:ind w:left="0" w:leftChars="0" w:firstLine="420" w:firstLineChars="0"/>
        <w:jc w:val="left"/>
        <w:textAlignment w:val="auto"/>
        <w:outlineLvl w:val="1"/>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 xml:space="preserve">附录 </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bookmarkStart w:id="11" w:name="_Toc2173"/>
      <w:r>
        <w:rPr>
          <w:rFonts w:hint="eastAsia" w:ascii="宋体" w:hAnsi="宋体" w:eastAsia="宋体" w:cs="宋体"/>
          <w:color w:val="auto"/>
          <w:kern w:val="2"/>
          <w:sz w:val="28"/>
          <w:szCs w:val="28"/>
          <w:lang w:val="en-US" w:eastAsia="zh-CN" w:bidi="ar-SA"/>
        </w:rPr>
        <w:t>附录A明确了海洋自然资源资产经济、生态参数，包括国家海域使用金征收标准</w:t>
      </w:r>
      <w:bookmarkEnd w:id="11"/>
      <w:r>
        <w:rPr>
          <w:rFonts w:hint="eastAsia" w:ascii="宋体" w:hAnsi="宋体" w:eastAsia="宋体" w:cs="宋体"/>
          <w:color w:val="auto"/>
          <w:kern w:val="2"/>
          <w:sz w:val="28"/>
          <w:szCs w:val="28"/>
          <w:lang w:val="en-US" w:eastAsia="zh-CN" w:bidi="ar-SA"/>
        </w:rPr>
        <w:t>、</w:t>
      </w:r>
      <w:bookmarkStart w:id="12" w:name="_Toc14069"/>
      <w:r>
        <w:rPr>
          <w:rFonts w:hint="eastAsia" w:ascii="宋体" w:hAnsi="宋体" w:eastAsia="宋体" w:cs="宋体"/>
          <w:color w:val="auto"/>
          <w:kern w:val="2"/>
          <w:sz w:val="28"/>
          <w:szCs w:val="28"/>
          <w:lang w:val="en-US" w:eastAsia="zh-CN" w:bidi="ar-SA"/>
        </w:rPr>
        <w:t>国家无居民海岛使用金</w:t>
      </w:r>
      <w:bookmarkEnd w:id="12"/>
      <w:r>
        <w:rPr>
          <w:rFonts w:hint="eastAsia" w:ascii="宋体" w:hAnsi="宋体" w:eastAsia="宋体" w:cs="宋体"/>
          <w:color w:val="auto"/>
          <w:kern w:val="2"/>
          <w:sz w:val="28"/>
          <w:szCs w:val="28"/>
          <w:lang w:val="en-US" w:eastAsia="zh-CN" w:bidi="ar-SA"/>
        </w:rPr>
        <w:t>征收标准，给出了海洋自然基点参数选取与影响力专家打分表、海洋自然基点参数权重专家打分表、</w:t>
      </w:r>
      <w:bookmarkStart w:id="13" w:name="_Toc32663"/>
      <w:bookmarkStart w:id="14" w:name="_Toc23021"/>
      <w:r>
        <w:rPr>
          <w:rFonts w:hint="eastAsia" w:ascii="宋体" w:hAnsi="宋体" w:eastAsia="宋体" w:cs="宋体"/>
          <w:color w:val="auto"/>
          <w:kern w:val="2"/>
          <w:sz w:val="28"/>
          <w:szCs w:val="28"/>
          <w:lang w:val="en-US" w:eastAsia="zh-CN" w:bidi="ar-SA"/>
        </w:rPr>
        <w:t>海洋生态格局系数</w:t>
      </w:r>
      <w:bookmarkEnd w:id="13"/>
      <w:bookmarkEnd w:id="14"/>
      <w:r>
        <w:rPr>
          <w:rFonts w:hint="eastAsia" w:ascii="宋体" w:hAnsi="宋体" w:eastAsia="宋体" w:cs="宋体"/>
          <w:color w:val="auto"/>
          <w:kern w:val="2"/>
          <w:sz w:val="28"/>
          <w:szCs w:val="28"/>
          <w:lang w:val="en-US" w:eastAsia="zh-CN" w:bidi="ar-SA"/>
        </w:rPr>
        <w:t>专家打分表。</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附录B给出了具体的海洋自然资源资产生态价值核算示例。</w:t>
      </w:r>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附录C给出了海洋自然资源资产核算结果报告大纲。</w:t>
      </w:r>
    </w:p>
    <w:bookmarkEnd w:id="7"/>
    <w:p>
      <w:pPr>
        <w:pStyle w:val="2"/>
        <w:widowControl w:val="0"/>
        <w:spacing w:before="160" w:beforeLines="-2147483648" w:beforeAutospacing="0" w:after="160" w:afterLines="-2147483648" w:afterAutospacing="0" w:line="360" w:lineRule="auto"/>
        <w:ind w:left="0"/>
        <w:rPr>
          <w:rFonts w:hint="default" w:ascii="黑体" w:hAnsi="黑体" w:eastAsia="黑体" w:cs="黑体"/>
          <w:b/>
          <w:bCs w:val="0"/>
          <w:color w:val="auto"/>
          <w:sz w:val="32"/>
          <w:szCs w:val="22"/>
          <w:lang w:val="en-US" w:eastAsia="zh-CN"/>
        </w:rPr>
      </w:pPr>
      <w:bookmarkStart w:id="15" w:name="_Toc2828"/>
      <w:r>
        <w:rPr>
          <w:rFonts w:hint="default" w:ascii="黑体" w:hAnsi="黑体" w:eastAsia="黑体" w:cs="黑体"/>
          <w:b/>
          <w:bCs w:val="0"/>
          <w:color w:val="auto"/>
          <w:sz w:val="32"/>
          <w:szCs w:val="22"/>
          <w:lang w:val="en-US" w:eastAsia="zh-CN"/>
        </w:rPr>
        <w:t>是否涉及专利等知识产权问题</w:t>
      </w:r>
      <w:bookmarkEnd w:id="15"/>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无。</w:t>
      </w:r>
    </w:p>
    <w:p>
      <w:pPr>
        <w:pStyle w:val="2"/>
        <w:widowControl/>
        <w:spacing w:before="160" w:beforeLines="0" w:beforeAutospacing="0" w:after="160" w:afterLines="0" w:afterAutospacing="0" w:line="240" w:lineRule="auto"/>
        <w:ind w:left="0"/>
        <w:rPr>
          <w:rFonts w:hint="default" w:ascii="黑体" w:hAnsi="黑体" w:eastAsia="黑体" w:cs="黑体"/>
          <w:b/>
          <w:bCs w:val="0"/>
          <w:color w:val="auto"/>
          <w:sz w:val="32"/>
          <w:szCs w:val="22"/>
          <w:lang w:val="en-US" w:eastAsia="zh-CN"/>
        </w:rPr>
      </w:pPr>
      <w:bookmarkStart w:id="16" w:name="_Toc3029"/>
      <w:bookmarkStart w:id="17" w:name="_Toc67578205"/>
      <w:r>
        <w:rPr>
          <w:rFonts w:hint="default" w:ascii="黑体" w:hAnsi="黑体" w:eastAsia="黑体" w:cs="黑体"/>
          <w:b/>
          <w:bCs w:val="0"/>
          <w:color w:val="auto"/>
          <w:sz w:val="32"/>
          <w:szCs w:val="22"/>
          <w:lang w:val="en-US" w:eastAsia="zh-CN"/>
        </w:rPr>
        <w:t>重大意见分歧的处理依据和结果</w:t>
      </w:r>
      <w:bookmarkEnd w:id="16"/>
      <w:bookmarkEnd w:id="17"/>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color w:val="auto"/>
          <w:lang w:val="en-US" w:eastAsia="zh-CN"/>
        </w:rPr>
      </w:pPr>
      <w:r>
        <w:rPr>
          <w:rFonts w:hint="eastAsia" w:ascii="宋体" w:hAnsi="宋体" w:eastAsia="宋体" w:cs="宋体"/>
          <w:color w:val="auto"/>
          <w:kern w:val="2"/>
          <w:sz w:val="28"/>
          <w:szCs w:val="28"/>
          <w:lang w:val="en-US" w:eastAsia="zh-CN" w:bidi="ar-SA"/>
        </w:rPr>
        <w:t>无。</w:t>
      </w:r>
    </w:p>
    <w:p>
      <w:pPr>
        <w:pStyle w:val="2"/>
        <w:widowControl/>
        <w:spacing w:before="160" w:beforeLines="0" w:beforeAutospacing="0" w:after="160" w:afterLines="0" w:afterAutospacing="0" w:line="240" w:lineRule="auto"/>
        <w:ind w:left="0"/>
        <w:rPr>
          <w:rFonts w:hint="default" w:ascii="黑体" w:hAnsi="黑体" w:eastAsia="黑体" w:cs="黑体"/>
          <w:b/>
          <w:bCs w:val="0"/>
          <w:color w:val="auto"/>
          <w:sz w:val="32"/>
          <w:szCs w:val="22"/>
          <w:lang w:val="en-US" w:eastAsia="zh-CN"/>
        </w:rPr>
      </w:pPr>
      <w:bookmarkStart w:id="18" w:name="_Toc67578206"/>
      <w:bookmarkStart w:id="19" w:name="_Toc10879"/>
      <w:r>
        <w:rPr>
          <w:rFonts w:hint="default" w:ascii="黑体" w:hAnsi="黑体" w:eastAsia="黑体" w:cs="黑体"/>
          <w:b/>
          <w:bCs w:val="0"/>
          <w:color w:val="auto"/>
          <w:sz w:val="32"/>
          <w:szCs w:val="22"/>
          <w:lang w:val="en-US" w:eastAsia="zh-CN"/>
        </w:rPr>
        <w:t>实施标准的措施建议</w:t>
      </w:r>
      <w:bookmarkEnd w:id="18"/>
      <w:bookmarkEnd w:id="19"/>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hAnsi="宋体" w:cs="宋体"/>
          <w:color w:val="auto"/>
          <w:sz w:val="28"/>
          <w:szCs w:val="28"/>
          <w:highlight w:val="none"/>
          <w:lang w:val="en-US" w:eastAsia="zh-CN"/>
        </w:rPr>
      </w:pPr>
      <w:bookmarkStart w:id="20" w:name="_Toc32289"/>
      <w:bookmarkStart w:id="21" w:name="_Toc67578207"/>
      <w:r>
        <w:rPr>
          <w:rFonts w:hint="eastAsia" w:hAnsi="宋体" w:cs="宋体"/>
          <w:color w:val="auto"/>
          <w:sz w:val="28"/>
          <w:szCs w:val="28"/>
          <w:highlight w:val="none"/>
          <w:lang w:val="en-US" w:eastAsia="zh-CN"/>
        </w:rPr>
        <w:t>拟通过开展《海洋自然资源资产核算技术规范》的宣贯、培训和标准实施跟踪检查等方式推动标准实施，利用多种渠道、多种方式加强本文件的宣贯，对本标准的执行情况进行跟踪调查，并对标准实施效果进行评估，及时发现并解决标准实施过程中存在的问题，适时开展修订完善工作，提升标准的科学性和适用性，加强使用单位对标准内容的理解和运用，提升深圳市海洋自然资源资产的精细化管理。</w:t>
      </w:r>
    </w:p>
    <w:p>
      <w:pPr>
        <w:pStyle w:val="2"/>
        <w:widowControl/>
        <w:spacing w:before="160" w:beforeLines="0" w:beforeAutospacing="0" w:after="160" w:afterLines="0" w:afterAutospacing="0" w:line="240" w:lineRule="auto"/>
        <w:ind w:left="0"/>
        <w:rPr>
          <w:rFonts w:hint="default" w:ascii="黑体" w:hAnsi="黑体" w:eastAsia="黑体" w:cs="黑体"/>
          <w:b/>
          <w:bCs w:val="0"/>
          <w:color w:val="auto"/>
          <w:sz w:val="32"/>
          <w:szCs w:val="22"/>
          <w:lang w:val="en-US" w:eastAsia="zh-CN"/>
        </w:rPr>
      </w:pPr>
      <w:r>
        <w:rPr>
          <w:rFonts w:hint="default" w:ascii="黑体" w:hAnsi="黑体" w:eastAsia="黑体" w:cs="黑体"/>
          <w:b/>
          <w:bCs w:val="0"/>
          <w:color w:val="auto"/>
          <w:sz w:val="32"/>
          <w:szCs w:val="22"/>
          <w:lang w:val="en-US" w:eastAsia="zh-CN"/>
        </w:rPr>
        <w:t>其他需要说明的事项</w:t>
      </w:r>
      <w:bookmarkEnd w:id="20"/>
      <w:bookmarkEnd w:id="21"/>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45C0E"/>
    <w:multiLevelType w:val="multilevel"/>
    <w:tmpl w:val="A5D45C0E"/>
    <w:lvl w:ilvl="0" w:tentative="0">
      <w:start w:val="1"/>
      <w:numFmt w:val="chineseCounting"/>
      <w:pStyle w:val="2"/>
      <w:suff w:val="nothing"/>
      <w:lvlText w:val="%1、"/>
      <w:lvlJc w:val="left"/>
      <w:pPr>
        <w:ind w:left="0" w:firstLine="0"/>
      </w:pPr>
      <w:rPr>
        <w:rFonts w:hint="eastAsia"/>
        <w:highlight w:val="none"/>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A75B982"/>
    <w:multiLevelType w:val="singleLevel"/>
    <w:tmpl w:val="CA75B982"/>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2">
    <w:nsid w:val="D3FB511A"/>
    <w:multiLevelType w:val="singleLevel"/>
    <w:tmpl w:val="D3FB511A"/>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3">
    <w:nsid w:val="FAB76FA2"/>
    <w:multiLevelType w:val="singleLevel"/>
    <w:tmpl w:val="FAB76FA2"/>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4">
    <w:nsid w:val="11E5ECD2"/>
    <w:multiLevelType w:val="singleLevel"/>
    <w:tmpl w:val="11E5ECD2"/>
    <w:lvl w:ilvl="0" w:tentative="0">
      <w:start w:val="2"/>
      <w:numFmt w:val="decimal"/>
      <w:suff w:val="space"/>
      <w:lvlText w:val="%1."/>
      <w:lvlJc w:val="left"/>
      <w:rPr>
        <w:rFonts w:hint="default" w:ascii="宋体" w:hAnsi="宋体" w:eastAsia="宋体" w:cs="宋体"/>
        <w:sz w:val="28"/>
        <w:szCs w:val="28"/>
      </w:rPr>
    </w:lvl>
  </w:abstractNum>
  <w:abstractNum w:abstractNumId="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9"/>
      <w:suff w:val="nothing"/>
      <w:lvlText w:val="%1.%2.%3　"/>
      <w:lvlJc w:val="left"/>
      <w:pPr>
        <w:ind w:left="4111" w:firstLine="0"/>
      </w:pPr>
      <w:rPr>
        <w:rFonts w:hint="eastAsia" w:ascii="黑体" w:hAnsi="Times New Roman" w:eastAsia="黑体"/>
        <w:b w:val="0"/>
        <w:i w:val="0"/>
        <w:color w:val="000000"/>
        <w:sz w:val="21"/>
      </w:rPr>
    </w:lvl>
    <w:lvl w:ilvl="3" w:tentative="0">
      <w:start w:val="1"/>
      <w:numFmt w:val="decimal"/>
      <w:pStyle w:val="18"/>
      <w:suff w:val="nothing"/>
      <w:lvlText w:val="%1.%2.%3.%4　"/>
      <w:lvlJc w:val="left"/>
      <w:pPr>
        <w:ind w:left="0" w:firstLine="0"/>
      </w:pPr>
      <w:rPr>
        <w:rFonts w:hint="eastAsia" w:ascii="黑体" w:hAnsi="Times New Roman" w:eastAsia="黑体"/>
        <w:b w:val="0"/>
        <w:i w:val="0"/>
        <w:sz w:val="21"/>
      </w:rPr>
    </w:lvl>
    <w:lvl w:ilvl="4" w:tentative="0">
      <w:start w:val="1"/>
      <w:numFmt w:val="decimal"/>
      <w:pStyle w:val="1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1430EE0"/>
    <w:multiLevelType w:val="singleLevel"/>
    <w:tmpl w:val="21430EE0"/>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7">
    <w:nsid w:val="242101B3"/>
    <w:multiLevelType w:val="singleLevel"/>
    <w:tmpl w:val="242101B3"/>
    <w:lvl w:ilvl="0" w:tentative="0">
      <w:start w:val="1"/>
      <w:numFmt w:val="decimal"/>
      <w:suff w:val="nothing"/>
      <w:lvlText w:val="（%1）"/>
      <w:lvlJc w:val="left"/>
    </w:lvl>
  </w:abstractNum>
  <w:abstractNum w:abstractNumId="8">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5"/>
  </w:num>
  <w:num w:numId="3">
    <w:abstractNumId w:val="8"/>
  </w:num>
  <w:num w:numId="4">
    <w:abstractNumId w:val="2"/>
  </w:num>
  <w:num w:numId="5">
    <w:abstractNumId w:val="3"/>
  </w:num>
  <w:num w:numId="6">
    <w:abstractNumId w:val="4"/>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TMzMjIxNTI2NzZjNzIxZGE0YzhkMjFmNDgxOTAifQ=="/>
  </w:docVars>
  <w:rsids>
    <w:rsidRoot w:val="2A2B1E90"/>
    <w:rsid w:val="02FE62AD"/>
    <w:rsid w:val="032770F0"/>
    <w:rsid w:val="039F2EEB"/>
    <w:rsid w:val="04F434F3"/>
    <w:rsid w:val="05634469"/>
    <w:rsid w:val="09600771"/>
    <w:rsid w:val="0E833DCE"/>
    <w:rsid w:val="10971528"/>
    <w:rsid w:val="115E75CE"/>
    <w:rsid w:val="11C3392E"/>
    <w:rsid w:val="151F6F77"/>
    <w:rsid w:val="15447178"/>
    <w:rsid w:val="15946065"/>
    <w:rsid w:val="16A31434"/>
    <w:rsid w:val="16D231FD"/>
    <w:rsid w:val="16F6D381"/>
    <w:rsid w:val="17C31746"/>
    <w:rsid w:val="17F85DEE"/>
    <w:rsid w:val="187E23F1"/>
    <w:rsid w:val="18C36C8F"/>
    <w:rsid w:val="19BE5CBA"/>
    <w:rsid w:val="19F17E3E"/>
    <w:rsid w:val="19FA13E8"/>
    <w:rsid w:val="1B59213E"/>
    <w:rsid w:val="1B815A33"/>
    <w:rsid w:val="1CC2543C"/>
    <w:rsid w:val="201605FE"/>
    <w:rsid w:val="20431E47"/>
    <w:rsid w:val="21B209BC"/>
    <w:rsid w:val="2306260B"/>
    <w:rsid w:val="23086084"/>
    <w:rsid w:val="24564709"/>
    <w:rsid w:val="268166B0"/>
    <w:rsid w:val="29263CBE"/>
    <w:rsid w:val="298A5BB9"/>
    <w:rsid w:val="2A2B1E90"/>
    <w:rsid w:val="2B974F9B"/>
    <w:rsid w:val="2E92473E"/>
    <w:rsid w:val="388738C7"/>
    <w:rsid w:val="39AE0039"/>
    <w:rsid w:val="3BCB44E5"/>
    <w:rsid w:val="3BFDA474"/>
    <w:rsid w:val="3DC95851"/>
    <w:rsid w:val="3E6B375C"/>
    <w:rsid w:val="3F2673F5"/>
    <w:rsid w:val="401742FA"/>
    <w:rsid w:val="407B2B4C"/>
    <w:rsid w:val="43DD5ABE"/>
    <w:rsid w:val="43EE1E6B"/>
    <w:rsid w:val="445826E4"/>
    <w:rsid w:val="46BA3866"/>
    <w:rsid w:val="47704DEB"/>
    <w:rsid w:val="4ACB3B74"/>
    <w:rsid w:val="4AED1631"/>
    <w:rsid w:val="4B4B1813"/>
    <w:rsid w:val="4D9901C8"/>
    <w:rsid w:val="4E8D30C2"/>
    <w:rsid w:val="50342257"/>
    <w:rsid w:val="50561CCA"/>
    <w:rsid w:val="51BB602B"/>
    <w:rsid w:val="523D4C4D"/>
    <w:rsid w:val="533A4E9D"/>
    <w:rsid w:val="53685D7F"/>
    <w:rsid w:val="559B2D78"/>
    <w:rsid w:val="5663283F"/>
    <w:rsid w:val="5C4260EC"/>
    <w:rsid w:val="5D0C4FCD"/>
    <w:rsid w:val="5DFF21DA"/>
    <w:rsid w:val="5ECA1350"/>
    <w:rsid w:val="5F37D030"/>
    <w:rsid w:val="5FAE3A6D"/>
    <w:rsid w:val="5FCC94AB"/>
    <w:rsid w:val="5FF61C88"/>
    <w:rsid w:val="607A6509"/>
    <w:rsid w:val="643A6FF9"/>
    <w:rsid w:val="68433275"/>
    <w:rsid w:val="6893202B"/>
    <w:rsid w:val="6A1B4ECE"/>
    <w:rsid w:val="6ACD1044"/>
    <w:rsid w:val="6BC54523"/>
    <w:rsid w:val="6C0E1756"/>
    <w:rsid w:val="6CCA06BB"/>
    <w:rsid w:val="6CDB1F80"/>
    <w:rsid w:val="6E05302D"/>
    <w:rsid w:val="70D72B95"/>
    <w:rsid w:val="70D94AB2"/>
    <w:rsid w:val="74741B0C"/>
    <w:rsid w:val="74CF3310"/>
    <w:rsid w:val="75AE2DA8"/>
    <w:rsid w:val="7675322E"/>
    <w:rsid w:val="780937FF"/>
    <w:rsid w:val="79AA3928"/>
    <w:rsid w:val="7B9F544B"/>
    <w:rsid w:val="7BFDC182"/>
    <w:rsid w:val="7BFF3645"/>
    <w:rsid w:val="7D612E2E"/>
    <w:rsid w:val="7D67B677"/>
    <w:rsid w:val="7DDF6BBE"/>
    <w:rsid w:val="7F0672A2"/>
    <w:rsid w:val="7FCF8A4D"/>
    <w:rsid w:val="7FD72826"/>
    <w:rsid w:val="7FF3B42C"/>
    <w:rsid w:val="B9CE5EFB"/>
    <w:rsid w:val="C6DDC0C8"/>
    <w:rsid w:val="CBFF6500"/>
    <w:rsid w:val="DFE73929"/>
    <w:rsid w:val="DFF9D360"/>
    <w:rsid w:val="F99BBB5D"/>
    <w:rsid w:val="FB7FA26C"/>
    <w:rsid w:val="FDFEAC59"/>
    <w:rsid w:val="FE57D67E"/>
    <w:rsid w:val="FFDE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4294967295" w:semiHidden="0" w:name="heading 1"/>
    <w:lsdException w:qFormat="1" w:unhideWhenUsed="0" w:uiPriority="4294967295"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4294967295"/>
    <w:pPr>
      <w:keepNext/>
      <w:keepLines/>
      <w:numPr>
        <w:ilvl w:val="0"/>
        <w:numId w:val="1"/>
      </w:numPr>
      <w:spacing w:before="340" w:beforeLines="0" w:beforeAutospacing="0" w:after="330" w:afterLines="0" w:afterAutospacing="0" w:line="576" w:lineRule="auto"/>
      <w:ind w:left="0"/>
      <w:outlineLvl w:val="0"/>
    </w:pPr>
    <w:rPr>
      <w:b/>
      <w:kern w:val="44"/>
      <w:sz w:val="44"/>
    </w:rPr>
  </w:style>
  <w:style w:type="paragraph" w:styleId="3">
    <w:name w:val="heading 2"/>
    <w:basedOn w:val="1"/>
    <w:next w:val="1"/>
    <w:qFormat/>
    <w:uiPriority w:val="4294967295"/>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4">
    <w:name w:val="heading 3"/>
    <w:basedOn w:val="1"/>
    <w:next w:val="1"/>
    <w:qFormat/>
    <w:uiPriority w:val="9"/>
    <w:pPr>
      <w:keepNext/>
      <w:keepLines/>
      <w:spacing w:before="260" w:after="260" w:line="416" w:lineRule="auto"/>
      <w:outlineLvl w:val="2"/>
    </w:pPr>
    <w:rPr>
      <w:rFonts w:ascii="Times New Roman" w:hAnsi="Times New Roman" w:eastAsia="宋体"/>
      <w:b/>
      <w:bCs/>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unhideWhenUsed/>
    <w:qFormat/>
    <w:uiPriority w:val="99"/>
    <w:pPr>
      <w:jc w:val="left"/>
    </w:pPr>
    <w:rPr>
      <w:kern w:val="0"/>
      <w:sz w:val="20"/>
    </w:rPr>
  </w:style>
  <w:style w:type="paragraph" w:styleId="6">
    <w:name w:val="Plain Text"/>
    <w:basedOn w:val="1"/>
    <w:qFormat/>
    <w:uiPriority w:val="0"/>
    <w:rPr>
      <w:rFonts w:ascii="宋体" w:hAnsi="Courier New" w:eastAsia="宋体"/>
      <w:sz w:val="21"/>
      <w:szCs w:val="20"/>
    </w:rPr>
  </w:style>
  <w:style w:type="paragraph" w:styleId="7">
    <w:name w:val="Body Text Indent 2"/>
    <w:basedOn w:val="1"/>
    <w:qFormat/>
    <w:uiPriority w:val="0"/>
    <w:pPr>
      <w:spacing w:line="240" w:lineRule="atLeast"/>
      <w:ind w:firstLine="420" w:firstLineChars="200"/>
    </w:pPr>
    <w:rPr>
      <w:rFonts w:ascii="宋体" w:hAnsi="宋体" w:eastAsia="宋体"/>
      <w:sz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6">
    <w:name w:val="一级条标题"/>
    <w:next w:val="15"/>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17">
    <w:name w:val="四级条标题"/>
    <w:basedOn w:val="18"/>
    <w:next w:val="15"/>
    <w:qFormat/>
    <w:uiPriority w:val="0"/>
    <w:pPr>
      <w:numPr>
        <w:ilvl w:val="4"/>
      </w:numPr>
      <w:outlineLvl w:val="5"/>
    </w:pPr>
  </w:style>
  <w:style w:type="paragraph" w:customStyle="1" w:styleId="18">
    <w:name w:val="三级条标题"/>
    <w:basedOn w:val="19"/>
    <w:next w:val="15"/>
    <w:qFormat/>
    <w:uiPriority w:val="0"/>
    <w:pPr>
      <w:numPr>
        <w:ilvl w:val="3"/>
      </w:numPr>
      <w:outlineLvl w:val="4"/>
    </w:pPr>
  </w:style>
  <w:style w:type="paragraph" w:customStyle="1" w:styleId="19">
    <w:name w:val="二级条标题"/>
    <w:basedOn w:val="16"/>
    <w:next w:val="15"/>
    <w:qFormat/>
    <w:uiPriority w:val="0"/>
    <w:pPr>
      <w:numPr>
        <w:ilvl w:val="2"/>
      </w:numPr>
      <w:spacing w:before="50" w:after="50"/>
      <w:outlineLvl w:val="3"/>
    </w:pPr>
  </w:style>
  <w:style w:type="paragraph" w:customStyle="1" w:styleId="20">
    <w:name w:val="附录章标题"/>
    <w:next w:val="15"/>
    <w:qFormat/>
    <w:uiPriority w:val="0"/>
    <w:pPr>
      <w:numPr>
        <w:ilvl w:val="1"/>
        <w:numId w:val="3"/>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7321</Words>
  <Characters>7842</Characters>
  <Lines>0</Lines>
  <Paragraphs>0</Paragraphs>
  <TotalTime>190</TotalTime>
  <ScaleCrop>false</ScaleCrop>
  <LinksUpToDate>false</LinksUpToDate>
  <CharactersWithSpaces>7901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2024-05-02T17:31:00Z</dcterms:created>
  <dc:creator>Yakult</dc:creator>
  <cp:lastModifiedBy>qilin</cp:lastModifiedBy>
  <cp:lastPrinted>2025-01-24T10:28:00Z</cp:lastPrinted>
  <dcterms:modified xsi:type="dcterms:W3CDTF">2025-01-24T14:22:02Z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4F399DFF10804C249B3D7482DBE374C0_13</vt:lpwstr>
  </property>
  <property fmtid="{D5CDD505-2E9C-101B-9397-08002B2CF9AE}" pid="4" name="KSOTemplateDocerSaveRecord">
    <vt:lpwstr>eyJoZGlkIjoiNGU5NGFmYjMzNmY0NDI2ZDlmYTlkYzc0ZjQ5NzI0ODMiLCJ1c2VySWQiOiIxNDEzODg0MDQ2In0=</vt:lpwstr>
  </property>
</Properties>
</file>