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Times New Roman"/>
          <w:b/>
          <w:bCs/>
          <w:color w:val="auto"/>
          <w:sz w:val="32"/>
          <w:szCs w:val="24"/>
        </w:rPr>
      </w:pPr>
      <w:r>
        <w:rPr>
          <w:rFonts w:hint="eastAsia" w:ascii="宋体" w:hAnsi="宋体" w:eastAsia="宋体" w:cs="Times New Roman"/>
          <w:b/>
          <w:bCs/>
          <w:color w:val="auto"/>
          <w:kern w:val="0"/>
          <w:sz w:val="44"/>
          <w:szCs w:val="44"/>
        </w:rPr>
        <w:t>《</w:t>
      </w:r>
      <w:r>
        <w:rPr>
          <w:rFonts w:hint="eastAsia" w:ascii="宋体" w:hAnsi="宋体" w:eastAsia="宋体" w:cs="Times New Roman"/>
          <w:b/>
          <w:bCs/>
          <w:color w:val="auto"/>
          <w:kern w:val="0"/>
          <w:sz w:val="44"/>
          <w:szCs w:val="44"/>
          <w:lang w:val="en-US" w:eastAsia="zh-CN"/>
        </w:rPr>
        <w:t>深圳市规划和自然资源局南山管理局2025年日常法律顾问服务</w:t>
      </w:r>
      <w:r>
        <w:rPr>
          <w:rFonts w:hint="eastAsia" w:ascii="宋体" w:hAnsi="宋体" w:eastAsia="宋体" w:cs="Times New Roman"/>
          <w:b/>
          <w:bCs/>
          <w:color w:val="auto"/>
          <w:kern w:val="0"/>
          <w:sz w:val="44"/>
          <w:szCs w:val="44"/>
        </w:rPr>
        <w:t>》</w:t>
      </w:r>
      <w:r>
        <w:rPr>
          <w:rFonts w:hint="eastAsia" w:ascii="宋体" w:hAnsi="宋体" w:eastAsia="宋体" w:cs="Times New Roman"/>
          <w:b/>
          <w:bCs/>
          <w:color w:val="auto"/>
          <w:kern w:val="0"/>
          <w:sz w:val="44"/>
          <w:szCs w:val="44"/>
          <w:lang w:eastAsia="zh-CN"/>
        </w:rPr>
        <w:t>项目</w:t>
      </w:r>
      <w:r>
        <w:rPr>
          <w:rFonts w:hint="eastAsia" w:ascii="宋体" w:hAnsi="宋体" w:eastAsia="宋体" w:cs="Times New Roman"/>
          <w:b/>
          <w:bCs/>
          <w:color w:val="auto"/>
          <w:kern w:val="0"/>
          <w:sz w:val="44"/>
          <w:szCs w:val="44"/>
        </w:rPr>
        <w:t>采购需求文件</w:t>
      </w:r>
    </w:p>
    <w:p>
      <w:pPr>
        <w:spacing w:line="440" w:lineRule="exact"/>
        <w:ind w:firstLine="602" w:firstLineChars="200"/>
        <w:rPr>
          <w:rFonts w:hint="eastAsia" w:ascii="方正仿宋_GBK" w:hAnsi="方正仿宋_GBK" w:eastAsia="方正仿宋_GBK" w:cs="方正仿宋_GBK"/>
          <w:color w:val="auto"/>
          <w:kern w:val="0"/>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一、</w:t>
      </w:r>
      <w:r>
        <w:rPr>
          <w:rFonts w:hint="eastAsia" w:ascii="方正仿宋_GBK" w:hAnsi="方正仿宋_GBK" w:eastAsia="方正仿宋_GBK" w:cs="方正仿宋_GBK"/>
          <w:b/>
          <w:color w:val="auto"/>
          <w:sz w:val="30"/>
          <w:szCs w:val="30"/>
          <w:highlight w:val="none"/>
        </w:rPr>
        <w:t>采购项目概况</w:t>
      </w:r>
    </w:p>
    <w:p>
      <w:pPr>
        <w:spacing w:line="440" w:lineRule="exact"/>
        <w:ind w:firstLine="640" w:firstLineChars="200"/>
        <w:rPr>
          <w:rFonts w:hint="eastAsia" w:ascii="方正仿宋_GBK" w:hAnsi="方正仿宋_GBK" w:eastAsia="方正仿宋_GBK" w:cs="方正仿宋_GBK"/>
          <w:color w:val="auto"/>
          <w:kern w:val="0"/>
          <w:sz w:val="30"/>
          <w:szCs w:val="30"/>
          <w:highlight w:val="none"/>
          <w:lang w:val="en-US" w:eastAsia="zh-CN"/>
        </w:rPr>
      </w:pPr>
      <w:r>
        <w:rPr>
          <w:rFonts w:hint="eastAsia" w:ascii="CESI仿宋-GB2312" w:hAnsi="CESI仿宋-GB2312" w:eastAsia="CESI仿宋-GB2312" w:cs="CESI仿宋-GB2312"/>
          <w:color w:val="auto"/>
          <w:sz w:val="32"/>
          <w:szCs w:val="32"/>
          <w:highlight w:val="none"/>
          <w:lang w:eastAsia="zh-CN"/>
        </w:rPr>
        <w:t>根据中共中央印发的《法治社会建设实施纲要（2020－2025年）》、国务院办公厅《关于推行法律顾问制度和公职律师公司律师制度的意见》《深圳市规划和自然资源局法律顾问管理工作规则》（深规划资源〔2019〕155号）等文件规定，为全力推进法律顾问制度建设工作和全面</w:t>
      </w:r>
      <w:r>
        <w:rPr>
          <w:rFonts w:hint="default" w:ascii="CESI仿宋-GB2312" w:hAnsi="CESI仿宋-GB2312" w:eastAsia="CESI仿宋-GB2312" w:cs="CESI仿宋-GB2312"/>
          <w:color w:val="auto"/>
          <w:sz w:val="32"/>
          <w:szCs w:val="32"/>
          <w:highlight w:val="none"/>
          <w:lang w:val="en-US" w:eastAsia="zh-CN"/>
        </w:rPr>
        <w:t>发挥法律顾问在依法决策、依法行政、推进合法性审查和化解行政争议等</w:t>
      </w:r>
      <w:r>
        <w:rPr>
          <w:rFonts w:hint="default" w:ascii="CESI仿宋-GB2312" w:hAnsi="CESI仿宋-GB2312" w:eastAsia="CESI仿宋-GB2312" w:cs="CESI仿宋-GB2312"/>
          <w:color w:val="auto"/>
          <w:sz w:val="32"/>
          <w:szCs w:val="32"/>
          <w:highlight w:val="none"/>
          <w:lang w:eastAsia="zh-CN"/>
        </w:rPr>
        <w:t>政府重大决策、重点工作、重要事项中的参谋助手作用</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kern w:val="0"/>
          <w:sz w:val="30"/>
          <w:szCs w:val="30"/>
          <w:highlight w:val="none"/>
          <w:lang w:eastAsia="zh-CN"/>
        </w:rPr>
        <w:t>为</w:t>
      </w:r>
      <w:r>
        <w:rPr>
          <w:rFonts w:hint="eastAsia" w:ascii="CESI仿宋-GB2312" w:hAnsi="CESI仿宋-GB2312" w:eastAsia="CESI仿宋-GB2312" w:cs="CESI仿宋-GB2312"/>
          <w:color w:val="auto"/>
          <w:kern w:val="0"/>
          <w:sz w:val="30"/>
          <w:szCs w:val="30"/>
          <w:highlight w:val="none"/>
        </w:rPr>
        <w:t>进一步提升我局依法行政能力，有效防范和化解行政法律风险。</w:t>
      </w:r>
      <w:r>
        <w:rPr>
          <w:rFonts w:hint="eastAsia" w:ascii="仿宋_GB2312" w:hAnsi="仿宋" w:eastAsia="仿宋_GB2312" w:cstheme="minorBidi"/>
          <w:b w:val="0"/>
          <w:bCs/>
          <w:color w:val="auto"/>
          <w:kern w:val="2"/>
          <w:sz w:val="30"/>
          <w:szCs w:val="30"/>
          <w:highlight w:val="none"/>
        </w:rPr>
        <w:t>拟聘请1家律师事务所组成顾问团队</w:t>
      </w:r>
      <w:r>
        <w:rPr>
          <w:rFonts w:hint="eastAsia" w:ascii="仿宋_GB2312" w:hAnsi="仿宋" w:eastAsia="仿宋_GB2312" w:cstheme="minorBidi"/>
          <w:b w:val="0"/>
          <w:bCs/>
          <w:color w:val="auto"/>
          <w:kern w:val="2"/>
          <w:sz w:val="30"/>
          <w:szCs w:val="30"/>
          <w:highlight w:val="none"/>
          <w:lang w:eastAsia="zh-CN"/>
        </w:rPr>
        <w:t>为管理局</w:t>
      </w:r>
      <w:r>
        <w:rPr>
          <w:rFonts w:hint="eastAsia" w:ascii="仿宋_GB2312" w:hAnsi="仿宋" w:eastAsia="仿宋_GB2312" w:cstheme="minorBidi"/>
          <w:b w:val="0"/>
          <w:bCs/>
          <w:color w:val="auto"/>
          <w:kern w:val="2"/>
          <w:sz w:val="30"/>
          <w:szCs w:val="30"/>
          <w:highlight w:val="none"/>
        </w:rPr>
        <w:t>提供</w:t>
      </w:r>
      <w:r>
        <w:rPr>
          <w:rFonts w:hint="eastAsia" w:ascii="仿宋_GB2312" w:hAnsi="仿宋" w:eastAsia="仿宋_GB2312" w:cstheme="minorBidi"/>
          <w:b w:val="0"/>
          <w:bCs/>
          <w:color w:val="auto"/>
          <w:kern w:val="2"/>
          <w:sz w:val="30"/>
          <w:szCs w:val="30"/>
          <w:highlight w:val="none"/>
          <w:lang w:val="en-US"/>
        </w:rPr>
        <w:t>202</w:t>
      </w:r>
      <w:r>
        <w:rPr>
          <w:rFonts w:hint="eastAsia" w:ascii="仿宋_GB2312" w:hAnsi="仿宋" w:eastAsia="仿宋_GB2312" w:cstheme="minorBidi"/>
          <w:b w:val="0"/>
          <w:bCs/>
          <w:color w:val="auto"/>
          <w:kern w:val="2"/>
          <w:sz w:val="30"/>
          <w:szCs w:val="30"/>
          <w:highlight w:val="none"/>
          <w:lang w:val="en-US" w:eastAsia="zh-CN"/>
        </w:rPr>
        <w:t>5年日常</w:t>
      </w:r>
      <w:r>
        <w:rPr>
          <w:rFonts w:hint="eastAsia" w:ascii="仿宋_GB2312" w:hAnsi="仿宋" w:eastAsia="仿宋_GB2312" w:cstheme="minorBidi"/>
          <w:b w:val="0"/>
          <w:bCs/>
          <w:color w:val="auto"/>
          <w:kern w:val="2"/>
          <w:sz w:val="30"/>
          <w:szCs w:val="30"/>
          <w:highlight w:val="none"/>
        </w:rPr>
        <w:t>法律顾问服务</w:t>
      </w:r>
      <w:r>
        <w:rPr>
          <w:rFonts w:hint="eastAsia" w:ascii="仿宋_GB2312" w:hAnsi="仿宋" w:eastAsia="仿宋_GB2312" w:cstheme="minorBidi"/>
          <w:b w:val="0"/>
          <w:bCs/>
          <w:color w:val="auto"/>
          <w:kern w:val="2"/>
          <w:sz w:val="30"/>
          <w:szCs w:val="30"/>
          <w:highlight w:val="none"/>
          <w:lang w:eastAsia="zh-CN"/>
        </w:rPr>
        <w:t>。</w:t>
      </w:r>
    </w:p>
    <w:p>
      <w:pPr>
        <w:spacing w:line="440" w:lineRule="exact"/>
        <w:ind w:firstLine="0" w:firstLineChars="0"/>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color w:val="auto"/>
          <w:kern w:val="0"/>
          <w:sz w:val="30"/>
          <w:szCs w:val="30"/>
          <w:highlight w:val="none"/>
          <w:lang w:val="en-US" w:eastAsia="zh-CN"/>
        </w:rPr>
        <w:t xml:space="preserve">    </w:t>
      </w:r>
      <w:r>
        <w:rPr>
          <w:rFonts w:hint="eastAsia" w:ascii="方正仿宋_GBK" w:hAnsi="方正仿宋_GBK" w:eastAsia="方正仿宋_GBK" w:cs="方正仿宋_GBK"/>
          <w:b/>
          <w:color w:val="auto"/>
          <w:sz w:val="30"/>
          <w:szCs w:val="30"/>
          <w:highlight w:val="none"/>
        </w:rPr>
        <w:t>二、项目服务内容和要求</w:t>
      </w:r>
    </w:p>
    <w:p>
      <w:pPr>
        <w:widowControl/>
        <w:shd w:val="clear" w:color="auto" w:fill="FFFFFF"/>
        <w:spacing w:line="440" w:lineRule="exact"/>
        <w:ind w:firstLine="642" w:firstLineChars="200"/>
        <w:rPr>
          <w:rFonts w:hint="eastAsia" w:ascii="仿宋_GB2312" w:hAnsi="仿宋" w:eastAsia="仿宋_GB2312"/>
          <w:b w:val="0"/>
          <w:bCs/>
          <w:color w:val="auto"/>
          <w:sz w:val="32"/>
          <w:szCs w:val="32"/>
        </w:rPr>
      </w:pPr>
      <w:r>
        <w:rPr>
          <w:rFonts w:hint="eastAsia" w:ascii="仿宋_GB2312" w:hAnsi="仿宋" w:eastAsia="仿宋_GB2312" w:cstheme="minorBidi"/>
          <w:b/>
          <w:bCs w:val="0"/>
          <w:color w:val="auto"/>
          <w:sz w:val="32"/>
          <w:szCs w:val="32"/>
        </w:rPr>
        <w:t>采用</w:t>
      </w:r>
      <w:r>
        <w:rPr>
          <w:rFonts w:hint="eastAsia" w:ascii="仿宋_GB2312" w:hAnsi="仿宋" w:eastAsia="仿宋_GB2312" w:cstheme="minorBidi"/>
          <w:b/>
          <w:bCs w:val="0"/>
          <w:color w:val="auto"/>
          <w:sz w:val="32"/>
          <w:szCs w:val="32"/>
          <w:lang w:eastAsia="zh-CN"/>
        </w:rPr>
        <w:t>公开</w:t>
      </w:r>
      <w:r>
        <w:rPr>
          <w:rFonts w:hint="default" w:ascii="仿宋_GB2312" w:hAnsi="仿宋" w:eastAsia="仿宋_GB2312" w:cstheme="minorBidi"/>
          <w:b/>
          <w:bCs w:val="0"/>
          <w:color w:val="auto"/>
          <w:sz w:val="32"/>
          <w:szCs w:val="32"/>
          <w:lang w:eastAsia="zh-CN"/>
        </w:rPr>
        <w:t>招</w:t>
      </w:r>
      <w:bookmarkStart w:id="4" w:name="_GoBack"/>
      <w:bookmarkEnd w:id="4"/>
      <w:r>
        <w:rPr>
          <w:rFonts w:hint="eastAsia" w:ascii="仿宋_GB2312" w:hAnsi="仿宋" w:eastAsia="仿宋_GB2312" w:cstheme="minorBidi"/>
          <w:b/>
          <w:bCs w:val="0"/>
          <w:color w:val="auto"/>
          <w:sz w:val="32"/>
          <w:szCs w:val="32"/>
        </w:rPr>
        <w:t>标方式</w:t>
      </w:r>
      <w:r>
        <w:rPr>
          <w:rFonts w:hint="eastAsia" w:ascii="仿宋_GB2312" w:hAnsi="仿宋" w:eastAsia="仿宋_GB2312" w:cstheme="minorBidi"/>
          <w:b/>
          <w:bCs w:val="0"/>
          <w:color w:val="auto"/>
          <w:sz w:val="32"/>
          <w:szCs w:val="32"/>
          <w:lang w:eastAsia="zh-CN"/>
        </w:rPr>
        <w:t>（综合评分法）委托代理机构开展</w:t>
      </w:r>
      <w:r>
        <w:rPr>
          <w:rFonts w:hint="eastAsia" w:ascii="仿宋_GB2312" w:hAnsi="仿宋" w:eastAsia="仿宋_GB2312" w:cstheme="minorBidi"/>
          <w:b/>
          <w:bCs w:val="0"/>
          <w:color w:val="auto"/>
          <w:sz w:val="32"/>
          <w:szCs w:val="32"/>
        </w:rPr>
        <w:t>采购</w:t>
      </w:r>
      <w:r>
        <w:rPr>
          <w:rFonts w:hint="eastAsia" w:ascii="仿宋_GB2312" w:hAnsi="仿宋" w:eastAsia="仿宋_GB2312"/>
          <w:b w:val="0"/>
          <w:bCs/>
          <w:color w:val="auto"/>
          <w:sz w:val="32"/>
          <w:szCs w:val="32"/>
        </w:rPr>
        <w:t>，具体要求如下：</w:t>
      </w:r>
    </w:p>
    <w:p>
      <w:pPr>
        <w:widowControl/>
        <w:shd w:val="clear" w:color="auto" w:fill="FFFFFF"/>
        <w:spacing w:line="440" w:lineRule="exact"/>
        <w:ind w:firstLine="602" w:firstLineChars="200"/>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一</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rPr>
        <w:t>法律顾问服务内容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00" w:firstLineChars="20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常年法律咨询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eastAsia="zh-CN"/>
        </w:rPr>
        <w:t>参与重大行政决策的法律论证；</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eastAsia="zh-CN"/>
        </w:rPr>
        <w:t>对重大行政决策事项进行合法性审查；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eastAsia="zh-CN"/>
        </w:rPr>
        <w:t>对规范性文件进行合法性审查；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eastAsia="zh-CN"/>
        </w:rPr>
        <w:t>对管理局重大行政执法决定进行法制审核，并出具法律意见；</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eastAsia="zh-CN"/>
        </w:rPr>
        <w:t>对重大、疑难案件出具法律意见；</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eastAsia="zh-CN"/>
        </w:rPr>
        <w:t>参与开展听证工作、处置重大突发性事件、群体性纠纷等重大社会事件；</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7</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eastAsia="zh-CN"/>
        </w:rPr>
        <w:t>对服务过程中发现的法律风险及时予以提醒，并提出优化建议；对普遍性法律问题进行宣传教育并开展内部法律培训；</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8</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eastAsia="zh-CN"/>
        </w:rPr>
        <w:t>对政府合同进行合法性审查；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9）依规进行公平竞争审查；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10</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eastAsia="zh-CN"/>
        </w:rPr>
        <w:t>参与行政调解行为；</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w:t>
      </w: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其他法律事务。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jc w:val="left"/>
        <w:textAlignment w:val="auto"/>
        <w:rPr>
          <w:rFonts w:hint="eastAsia" w:ascii="方正仿宋_GBK" w:hAnsi="方正仿宋_GBK" w:eastAsia="方正仿宋_GBK" w:cs="方正仿宋_GBK"/>
          <w:b/>
          <w:bCs/>
          <w:color w:val="auto"/>
          <w:kern w:val="2"/>
          <w:sz w:val="30"/>
          <w:szCs w:val="30"/>
          <w:highlight w:val="none"/>
          <w:lang w:val="en-US" w:eastAsia="zh-CN"/>
        </w:rPr>
      </w:pPr>
      <w:r>
        <w:rPr>
          <w:rFonts w:hint="eastAsia" w:ascii="方正仿宋_GBK" w:hAnsi="方正仿宋_GBK" w:eastAsia="方正仿宋_GBK" w:cs="方正仿宋_GBK"/>
          <w:b/>
          <w:bCs/>
          <w:color w:val="auto"/>
          <w:kern w:val="2"/>
          <w:sz w:val="30"/>
          <w:szCs w:val="30"/>
          <w:highlight w:val="none"/>
          <w:lang w:val="en-US" w:eastAsia="zh-CN"/>
        </w:rPr>
        <w:t>2.专项法律咨询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jc w:val="left"/>
        <w:textAlignment w:val="auto"/>
        <w:rPr>
          <w:rFonts w:hint="eastAsia" w:ascii="方正仿宋_GBK" w:hAnsi="方正仿宋_GBK" w:eastAsia="方正仿宋_GBK" w:cs="方正仿宋_GBK"/>
          <w:b w:val="0"/>
          <w:bCs w:val="0"/>
          <w:color w:val="auto"/>
          <w:kern w:val="2"/>
          <w:sz w:val="30"/>
          <w:szCs w:val="30"/>
          <w:highlight w:val="none"/>
          <w:lang w:val="en-US" w:eastAsia="zh-CN"/>
        </w:rPr>
      </w:pPr>
      <w:r>
        <w:rPr>
          <w:rFonts w:hint="eastAsia" w:ascii="方正仿宋_GBK" w:hAnsi="方正仿宋_GBK" w:eastAsia="方正仿宋_GBK" w:cs="方正仿宋_GBK"/>
          <w:b w:val="0"/>
          <w:bCs w:val="0"/>
          <w:color w:val="auto"/>
          <w:kern w:val="2"/>
          <w:sz w:val="30"/>
          <w:szCs w:val="30"/>
          <w:highlight w:val="none"/>
          <w:lang w:val="en-US" w:eastAsia="zh-CN"/>
        </w:rPr>
        <w:t>提供专项法律咨询，具体包括：</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eastAsia="zh-CN"/>
        </w:rPr>
        <w:t>城市规划相关专项法律咨询服务；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eastAsia="zh-CN"/>
        </w:rPr>
        <w:t>土地管理相关专项法律咨询服务；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eastAsia="zh-CN"/>
        </w:rPr>
        <w:t>渔业林业</w:t>
      </w:r>
      <w:r>
        <w:rPr>
          <w:rFonts w:hint="eastAsia" w:ascii="方正仿宋_GBK" w:hAnsi="方正仿宋_GBK" w:eastAsia="方正仿宋_GBK" w:cs="方正仿宋_GBK"/>
          <w:color w:val="auto"/>
          <w:sz w:val="30"/>
          <w:szCs w:val="30"/>
          <w:highlight w:val="none"/>
          <w:lang w:val="en-US" w:eastAsia="zh-CN"/>
        </w:rPr>
        <w:t>海洋</w:t>
      </w:r>
      <w:r>
        <w:rPr>
          <w:rFonts w:hint="eastAsia" w:ascii="方正仿宋_GBK" w:hAnsi="方正仿宋_GBK" w:eastAsia="方正仿宋_GBK" w:cs="方正仿宋_GBK"/>
          <w:color w:val="auto"/>
          <w:sz w:val="30"/>
          <w:szCs w:val="30"/>
          <w:highlight w:val="none"/>
          <w:lang w:eastAsia="zh-CN"/>
        </w:rPr>
        <w:t>相关专项法律咨询服务；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4</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eastAsia="zh-CN"/>
        </w:rPr>
        <w:t>信访维稳相关专项法律咨询服务；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0"/>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w:t>
      </w:r>
      <w:r>
        <w:rPr>
          <w:rFonts w:hint="eastAsia" w:ascii="方正仿宋_GBK" w:hAnsi="方正仿宋_GBK" w:eastAsia="方正仿宋_GBK" w:cs="方正仿宋_GBK"/>
          <w:color w:val="auto"/>
          <w:sz w:val="30"/>
          <w:szCs w:val="30"/>
          <w:highlight w:val="none"/>
          <w:lang w:val="en-US" w:eastAsia="zh-CN"/>
        </w:rPr>
        <w:t>）行政执法</w:t>
      </w:r>
      <w:r>
        <w:rPr>
          <w:rFonts w:hint="eastAsia" w:ascii="方正仿宋_GBK" w:hAnsi="方正仿宋_GBK" w:eastAsia="方正仿宋_GBK" w:cs="方正仿宋_GBK"/>
          <w:color w:val="auto"/>
          <w:sz w:val="30"/>
          <w:szCs w:val="30"/>
          <w:highlight w:val="none"/>
          <w:lang w:eastAsia="zh-CN"/>
        </w:rPr>
        <w:t>相关专项法律咨询服务；</w:t>
      </w:r>
    </w:p>
    <w:p>
      <w:pPr>
        <w:widowControl/>
        <w:shd w:val="clear" w:color="auto" w:fill="FFFFFF"/>
        <w:spacing w:line="440" w:lineRule="exact"/>
        <w:ind w:firstLine="560" w:firstLineChars="0"/>
        <w:rPr>
          <w:rFonts w:hint="eastAsia" w:ascii="方正仿宋_GBK" w:hAnsi="方正仿宋_GBK" w:eastAsia="方正仿宋_GBK" w:cs="方正仿宋_GBK"/>
          <w:b/>
          <w:bCs/>
          <w:color w:val="auto"/>
          <w:sz w:val="30"/>
          <w:szCs w:val="30"/>
          <w:highlight w:val="none"/>
        </w:rPr>
      </w:pPr>
      <w:r>
        <w:rPr>
          <w:rFonts w:hint="eastAsia" w:ascii="方正仿宋_GBK" w:hAnsi="方正仿宋_GBK" w:eastAsia="方正仿宋_GBK" w:cs="方正仿宋_GBK"/>
          <w:color w:val="auto"/>
          <w:sz w:val="30"/>
          <w:szCs w:val="30"/>
          <w:highlight w:val="none"/>
          <w:lang w:val="en-US" w:eastAsia="zh-CN"/>
        </w:rPr>
        <w:t>6）</w:t>
      </w:r>
      <w:r>
        <w:rPr>
          <w:rFonts w:hint="eastAsia" w:ascii="方正仿宋_GBK" w:hAnsi="方正仿宋_GBK" w:eastAsia="方正仿宋_GBK" w:cs="方正仿宋_GBK"/>
          <w:color w:val="auto"/>
          <w:sz w:val="30"/>
          <w:szCs w:val="30"/>
          <w:highlight w:val="none"/>
          <w:lang w:eastAsia="zh-CN"/>
        </w:rPr>
        <w:t>其他专项法律咨询服务。</w:t>
      </w:r>
    </w:p>
    <w:p>
      <w:pPr>
        <w:widowControl/>
        <w:shd w:val="clear" w:color="auto" w:fill="FFFFFF"/>
        <w:spacing w:line="440" w:lineRule="exact"/>
        <w:ind w:firstLine="560"/>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rPr>
        <w:t>（二）服务要求</w:t>
      </w:r>
    </w:p>
    <w:p>
      <w:pPr>
        <w:widowControl/>
        <w:shd w:val="clear" w:color="auto" w:fill="FFFFFF"/>
        <w:spacing w:line="440" w:lineRule="exact"/>
        <w:ind w:firstLine="560"/>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color w:val="auto"/>
          <w:sz w:val="30"/>
          <w:szCs w:val="30"/>
          <w:highlight w:val="none"/>
        </w:rPr>
        <w:t>1.</w:t>
      </w:r>
      <w:r>
        <w:rPr>
          <w:rFonts w:hint="eastAsia" w:ascii="方正仿宋_GBK" w:hAnsi="方正仿宋_GBK" w:eastAsia="方正仿宋_GBK" w:cs="方正仿宋_GBK"/>
          <w:bCs w:val="0"/>
          <w:color w:val="auto"/>
          <w:sz w:val="30"/>
          <w:szCs w:val="30"/>
          <w:highlight w:val="none"/>
        </w:rPr>
        <w:t>供应商应指派不少于3位熟悉规划、土地、林业、海洋业务或规划土地执法业务的律师团队（含主办律师）承担法律顾问工作，其中，主办律师</w:t>
      </w:r>
      <w:r>
        <w:rPr>
          <w:rFonts w:hint="eastAsia" w:ascii="方正仿宋_GBK" w:hAnsi="方正仿宋_GBK" w:eastAsia="方正仿宋_GBK" w:cs="方正仿宋_GBK"/>
          <w:color w:val="auto"/>
          <w:sz w:val="30"/>
          <w:szCs w:val="30"/>
          <w:highlight w:val="none"/>
          <w:lang w:eastAsia="zh-CN"/>
        </w:rPr>
        <w:t>应具备担任区级以上（</w:t>
      </w:r>
      <w:r>
        <w:rPr>
          <w:rFonts w:hint="eastAsia" w:ascii="方正仿宋_GBK" w:hAnsi="方正仿宋_GBK" w:eastAsia="方正仿宋_GBK" w:cs="方正仿宋_GBK"/>
          <w:color w:val="auto"/>
          <w:sz w:val="30"/>
          <w:szCs w:val="30"/>
          <w:highlight w:val="none"/>
          <w:lang w:val="en-US" w:eastAsia="zh-CN"/>
        </w:rPr>
        <w:t>含区级</w:t>
      </w:r>
      <w:r>
        <w:rPr>
          <w:rFonts w:hint="eastAsia" w:ascii="方正仿宋_GBK" w:hAnsi="方正仿宋_GBK" w:eastAsia="方正仿宋_GBK" w:cs="方正仿宋_GBK"/>
          <w:color w:val="auto"/>
          <w:sz w:val="30"/>
          <w:szCs w:val="30"/>
          <w:highlight w:val="none"/>
          <w:lang w:eastAsia="zh-CN"/>
        </w:rPr>
        <w:t>）职能部门法律顾问经验</w:t>
      </w:r>
      <w:r>
        <w:rPr>
          <w:rFonts w:hint="eastAsia" w:ascii="方正仿宋_GBK" w:hAnsi="方正仿宋_GBK" w:eastAsia="方正仿宋_GBK" w:cs="方正仿宋_GBK"/>
          <w:bCs w:val="0"/>
          <w:color w:val="auto"/>
          <w:sz w:val="30"/>
          <w:szCs w:val="30"/>
          <w:highlight w:val="none"/>
        </w:rPr>
        <w:t>。合同期内未经采购方同意，不得中途更换所指派的主办律师。否则，采购方有权解除合同。如采购方要求供应商以到会到场的方式提供法律服务的，供应商原则上应派主办律师出席。</w:t>
      </w:r>
    </w:p>
    <w:p>
      <w:pPr>
        <w:widowControl/>
        <w:shd w:val="clear" w:color="auto" w:fill="FFFFFF"/>
        <w:spacing w:line="440" w:lineRule="exact"/>
        <w:ind w:firstLine="56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2.供应商应按照采购方规定的时限和要求提供法律意见，普通法律咨询事项应在采购方提出需求后2个小时内答复，重大紧急的法律咨询事项原则上应在采购方提出需求后1个小时内答复；口头答复后，采购方如提出书面答复要求的，应在12小时内以出具书面法律意见。对合同进行合法性审查的，法律顾问单位在五个工作日内出具书面合法性审查意见；涉及重大行政执法决定的法制审核的，参照《深圳市规划和自然资源局南山管理局重大行政执法决定法制审核实施办法(试行)》规定执行。供应商应在服务期届满前1个月提交法律顾问服务工作总结报告或响应上级单位对法律顾问服务工作的调查和调研时提供相关报告和资料。</w:t>
      </w:r>
    </w:p>
    <w:p>
      <w:pPr>
        <w:widowControl/>
        <w:shd w:val="clear" w:color="auto" w:fill="FFFFFF"/>
        <w:spacing w:line="440" w:lineRule="exact"/>
        <w:ind w:firstLine="56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3.采购方发现指定的中标单位未能按要求完成指派的工作，可要求中标单位限期改正，到期未改正或经改正后仍无法达到采购方要求的，采购方有权解除合同；</w:t>
      </w:r>
    </w:p>
    <w:p>
      <w:pPr>
        <w:widowControl/>
        <w:shd w:val="clear" w:color="auto" w:fill="FFFFFF"/>
        <w:spacing w:line="440" w:lineRule="exact"/>
        <w:ind w:firstLine="560"/>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rPr>
        <w:t>4.中标单位无正当理由不参加采购方要求其参加的会议或未在规定的时间内出具法律意见达到三次的，采购方有权解除合同</w:t>
      </w:r>
      <w:r>
        <w:rPr>
          <w:rFonts w:hint="eastAsia" w:ascii="方正仿宋_GBK" w:hAnsi="方正仿宋_GBK" w:eastAsia="方正仿宋_GBK" w:cs="方正仿宋_GBK"/>
          <w:color w:val="auto"/>
          <w:sz w:val="30"/>
          <w:szCs w:val="30"/>
          <w:highlight w:val="none"/>
          <w:lang w:eastAsia="zh-CN"/>
        </w:rPr>
        <w:t>。</w:t>
      </w:r>
    </w:p>
    <w:p>
      <w:pPr>
        <w:widowControl/>
        <w:shd w:val="clear" w:color="auto" w:fill="FFFFFF"/>
        <w:spacing w:line="440" w:lineRule="exact"/>
        <w:ind w:firstLine="560"/>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rPr>
        <w:t>（三）其他要求</w:t>
      </w:r>
    </w:p>
    <w:p>
      <w:pPr>
        <w:spacing w:line="440" w:lineRule="exact"/>
        <w:ind w:firstLine="64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1.依法认真履行职责，准确及时提供法律服务；遵循诚实信用原则，依法告知采购方所委托事项可能出现的法律风险，对提供的法律意见的合法性、合理性承担法律责任；</w:t>
      </w:r>
    </w:p>
    <w:p>
      <w:pPr>
        <w:widowControl/>
        <w:shd w:val="clear" w:color="auto" w:fill="FFFFFF"/>
        <w:spacing w:line="440" w:lineRule="exact"/>
        <w:ind w:firstLine="56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2.不得利用担任法律顾问获得的非公开信息或者便利信息牟取利益；</w:t>
      </w:r>
    </w:p>
    <w:p>
      <w:pPr>
        <w:spacing w:line="440" w:lineRule="exact"/>
        <w:ind w:firstLine="64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3.不得以法律顾问单位的身份从事商业活动以及与法律顾问职责无关的活动；</w:t>
      </w:r>
    </w:p>
    <w:p>
      <w:pPr>
        <w:spacing w:line="440" w:lineRule="exact"/>
        <w:ind w:firstLine="64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4.未事先声明并经管理局同意，不得接受其他当事人委托办理与本系统有利益冲突的法律事务，与所承办的业务有利害关系、可能影响公正履行职责的，应当回避；</w:t>
      </w:r>
    </w:p>
    <w:p>
      <w:pPr>
        <w:spacing w:line="440" w:lineRule="exact"/>
        <w:ind w:firstLine="64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5.严格保守秘密；</w:t>
      </w:r>
    </w:p>
    <w:p>
      <w:pPr>
        <w:spacing w:line="440" w:lineRule="exact"/>
        <w:ind w:firstLine="585" w:firstLineChars="195"/>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6. 办理采购方委托事项应建立法律顾问工作台账并定期向采购方报告服务情况，对涉及采购方的原始证据、法律文件和财物应妥善保管；工作台账应当包含委托事项、委托时间、委托方式、答复方式、答复结果、答复时间、委托人签名等内容；</w:t>
      </w:r>
    </w:p>
    <w:p>
      <w:pPr>
        <w:spacing w:line="440" w:lineRule="exact"/>
        <w:ind w:firstLine="64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7.合同约定的其他义务。</w:t>
      </w:r>
    </w:p>
    <w:p>
      <w:pPr>
        <w:spacing w:line="440" w:lineRule="exact"/>
        <w:ind w:firstLine="602" w:firstLineChars="200"/>
        <w:rPr>
          <w:rFonts w:hint="eastAsia" w:ascii="仿宋_GB2312" w:hAnsi="仿宋" w:eastAsia="仿宋_GB2312"/>
          <w:color w:val="auto"/>
          <w:sz w:val="32"/>
          <w:szCs w:val="32"/>
          <w:highlight w:val="none"/>
          <w:lang w:eastAsia="zh-CN"/>
        </w:rPr>
      </w:pPr>
      <w:r>
        <w:rPr>
          <w:rFonts w:hint="eastAsia" w:ascii="方正仿宋_GBK" w:hAnsi="方正仿宋_GBK" w:eastAsia="方正仿宋_GBK" w:cs="方正仿宋_GBK"/>
          <w:b/>
          <w:color w:val="auto"/>
          <w:sz w:val="30"/>
          <w:szCs w:val="30"/>
          <w:highlight w:val="none"/>
        </w:rPr>
        <w:t>三、供应商资格要求</w:t>
      </w:r>
    </w:p>
    <w:p>
      <w:pPr>
        <w:widowControl/>
        <w:shd w:val="clear" w:color="auto" w:fill="FFFFFF"/>
        <w:spacing w:line="440" w:lineRule="exact"/>
        <w:ind w:firstLine="560"/>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（一）</w:t>
      </w:r>
      <w:r>
        <w:rPr>
          <w:rFonts w:hint="eastAsia" w:ascii="方正仿宋_GBK" w:hAnsi="方正仿宋_GBK" w:eastAsia="方正仿宋_GBK" w:cs="方正仿宋_GBK"/>
          <w:b/>
          <w:color w:val="auto"/>
          <w:sz w:val="30"/>
          <w:szCs w:val="30"/>
          <w:highlight w:val="none"/>
        </w:rPr>
        <w:t>满足《中华人民共和国政府采购法》第二十二条规定，包括但不限于：</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在中华人民共和国内注册登记的机构，具有独立承担民事责任的能力（提供注册登记的证明文件复印件）；</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具有良好的商业信誉和健全的财务会计制度，具有履行合同所必需的设备和专业技术能力，有依法缴纳税收和社会保障资金的良好记录；</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单位负责人为同一人或者存在直接控股、管理关系的不同供应商，不得参加同一合同项下的政府采购活动。（由供应商在《投标与合规承诺函》中作出声明）；</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为采购项目提供整体设计、规范编制或者项目管理、监理、检测等服务的供应商，不得再参加该采购项目同一合同项下的其他采购活动。（由供应商在《投标与合规承诺函》中作出声明）；</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由投标人在《投标与合规承诺函》中作出声明）；</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投标人及其法定代表人于前三年内（投标人成立不足三年的可从成立之日起算）无因违反建设工程法律、法规规定而受到建设行政主管部门红色警示并正在红色警示期间的情况（由投标人在《投标与合规承诺函》中作出声明）；</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符合国家法规政策关于诚信管理的要求，至投标截止时间，未有在“信用中国”网（www.creditchina.gov.cn）、中国政府采购网（www.ccgp.gov.cn）、深圳市政府采购监督管理网（www.zfcg.sz.gov.cn）、深圳公共资源交易中心市区政府采购统一平台（</w:t>
      </w:r>
      <w:r>
        <w:rPr>
          <w:rFonts w:hint="eastAsia" w:ascii="仿宋_GB2312" w:hAnsi="仿宋" w:eastAsia="仿宋_GB2312"/>
          <w:color w:val="auto"/>
          <w:sz w:val="32"/>
          <w:szCs w:val="32"/>
          <w:highlight w:val="none"/>
        </w:rPr>
        <w:fldChar w:fldCharType="begin"/>
      </w:r>
      <w:r>
        <w:rPr>
          <w:rFonts w:hint="eastAsia" w:ascii="仿宋_GB2312" w:hAnsi="仿宋" w:eastAsia="仿宋_GB2312"/>
          <w:color w:val="auto"/>
          <w:sz w:val="32"/>
          <w:szCs w:val="32"/>
          <w:highlight w:val="none"/>
        </w:rPr>
        <w:instrText xml:space="preserve"> HYPERLINK "http://www.szzfcg.cn" </w:instrText>
      </w:r>
      <w:r>
        <w:rPr>
          <w:rFonts w:hint="eastAsia" w:ascii="仿宋_GB2312" w:hAnsi="仿宋" w:eastAsia="仿宋_GB2312"/>
          <w:color w:val="auto"/>
          <w:sz w:val="32"/>
          <w:szCs w:val="32"/>
          <w:highlight w:val="none"/>
        </w:rPr>
        <w:fldChar w:fldCharType="separate"/>
      </w:r>
      <w:r>
        <w:rPr>
          <w:rFonts w:hint="eastAsia" w:ascii="仿宋_GB2312" w:hAnsi="仿宋" w:eastAsia="仿宋_GB2312"/>
          <w:color w:val="auto"/>
          <w:sz w:val="32"/>
          <w:szCs w:val="32"/>
          <w:highlight w:val="none"/>
        </w:rPr>
        <w:t>www.szzfcg.cn</w:t>
      </w:r>
      <w:r>
        <w:rPr>
          <w:rFonts w:hint="eastAsia" w:ascii="仿宋_GB2312" w:hAnsi="仿宋" w:eastAsia="仿宋_GB2312"/>
          <w:color w:val="auto"/>
          <w:sz w:val="32"/>
          <w:szCs w:val="32"/>
          <w:highlight w:val="none"/>
        </w:rPr>
        <w:fldChar w:fldCharType="end"/>
      </w:r>
      <w:r>
        <w:rPr>
          <w:rFonts w:hint="eastAsia" w:ascii="仿宋_GB2312" w:hAnsi="仿宋" w:eastAsia="仿宋_GB2312"/>
          <w:color w:val="auto"/>
          <w:sz w:val="32"/>
          <w:szCs w:val="32"/>
          <w:highlight w:val="none"/>
        </w:rPr>
        <w:t>）和“国家企业信用信息公示系统（www.gsxt.gov.cn）等5个官网中列入“失信被执行人、重大税收违法案件当事人名单、政府采购严重违法失信行为记录名单” （由投标人在《投标与合规承诺函》中作出声明）；</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8</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法律、行政法规规定的其他条件。</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二</w:t>
      </w:r>
      <w:r>
        <w:rPr>
          <w:rFonts w:hint="eastAsia" w:ascii="仿宋_GB2312" w:hAnsi="仿宋" w:eastAsia="仿宋_GB2312"/>
          <w:color w:val="auto"/>
          <w:sz w:val="32"/>
          <w:szCs w:val="32"/>
          <w:highlight w:val="none"/>
          <w:lang w:eastAsia="zh-CN"/>
        </w:rPr>
        <w:t>）落实政府采购政策需满足的资格要求：本项目不属于专门面向特定企业（单位）的采购项目。</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三</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本项目的特定资格要求</w:t>
      </w:r>
      <w:r>
        <w:rPr>
          <w:rFonts w:hint="eastAsia" w:ascii="仿宋_GB2312" w:hAnsi="仿宋" w:eastAsia="仿宋_GB2312"/>
          <w:color w:val="auto"/>
          <w:sz w:val="32"/>
          <w:szCs w:val="32"/>
          <w:highlight w:val="none"/>
          <w:lang w:eastAsia="zh-CN"/>
        </w:rPr>
        <w:t>：</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1.投标人必须是经过国家司法行政主管部门合法登记注册，持有经年检合格的执业证书（应提供合法登记注册文件及最近一年年检合格的证明文件）。</w:t>
      </w:r>
      <w:r>
        <w:rPr>
          <w:rFonts w:hint="eastAsia" w:ascii="仿宋_GB2312" w:hAnsi="仿宋" w:eastAsia="仿宋_GB2312"/>
          <w:color w:val="auto"/>
          <w:sz w:val="32"/>
          <w:szCs w:val="32"/>
          <w:highlight w:val="none"/>
          <w:lang w:val="en-US" w:eastAsia="zh-CN"/>
        </w:rPr>
        <w:t>总所或者分所只允许一家投标，不允许同时参与本项目投标，以分所名义参与投标的，须提供总所出具的愿为其参与本项目投标的行为以及履约等行为承担民事责任的加盖总所公章的授权函，以及提供总所和分所执业许可证扫描件，原件备查</w:t>
      </w:r>
      <w:r>
        <w:rPr>
          <w:rFonts w:hint="eastAsia" w:ascii="仿宋_GB2312" w:hAnsi="仿宋" w:eastAsia="仿宋_GB2312"/>
          <w:color w:val="auto"/>
          <w:sz w:val="32"/>
          <w:szCs w:val="32"/>
          <w:highlight w:val="none"/>
          <w:lang w:eastAsia="zh-CN"/>
        </w:rPr>
        <w:t>；</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2.本项目不接受联合体投标,不允许转包分包</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 xml:space="preserve"> </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投标文件中必须签署《政府采购投标及履约承诺函》（按要求提供《政府采购投标及履约承诺函》）</w:t>
      </w:r>
      <w:r>
        <w:rPr>
          <w:rFonts w:hint="eastAsia" w:ascii="仿宋_GB2312" w:hAnsi="仿宋" w:eastAsia="仿宋_GB2312"/>
          <w:color w:val="auto"/>
          <w:sz w:val="32"/>
          <w:szCs w:val="32"/>
          <w:highlight w:val="none"/>
          <w:lang w:eastAsia="zh-CN"/>
        </w:rPr>
        <w:t>。</w:t>
      </w:r>
    </w:p>
    <w:p>
      <w:pPr>
        <w:widowControl/>
        <w:shd w:val="clear" w:color="auto" w:fill="auto"/>
        <w:spacing w:line="440" w:lineRule="exact"/>
        <w:ind w:firstLine="640" w:firstLineChars="200"/>
        <w:rPr>
          <w:rFonts w:hint="eastAsia" w:ascii="仿宋_GB2312" w:hAnsi="仿宋" w:eastAsia="仿宋_GB2312"/>
          <w:color w:val="auto"/>
          <w:sz w:val="32"/>
          <w:szCs w:val="32"/>
          <w:highlight w:val="none"/>
          <w:lang w:eastAsia="zh-CN"/>
        </w:rPr>
      </w:pPr>
    </w:p>
    <w:p>
      <w:pPr>
        <w:pStyle w:val="19"/>
        <w:adjustRightInd w:val="0"/>
        <w:spacing w:line="440" w:lineRule="exact"/>
        <w:ind w:firstLine="602" w:firstLineChars="200"/>
        <w:rPr>
          <w:rFonts w:hint="eastAsia" w:ascii="方正仿宋_GBK" w:hAnsi="方正仿宋_GBK" w:eastAsia="方正仿宋_GBK" w:cs="方正仿宋_GBK"/>
          <w:b/>
          <w:bCs w:val="0"/>
          <w:color w:val="auto"/>
          <w:sz w:val="30"/>
          <w:szCs w:val="30"/>
          <w:highlight w:val="none"/>
        </w:rPr>
      </w:pPr>
      <w:r>
        <w:rPr>
          <w:rFonts w:hint="eastAsia" w:ascii="方正仿宋_GBK" w:hAnsi="方正仿宋_GBK" w:eastAsia="方正仿宋_GBK" w:cs="方正仿宋_GBK"/>
          <w:b/>
          <w:bCs w:val="0"/>
          <w:color w:val="auto"/>
          <w:sz w:val="30"/>
          <w:szCs w:val="30"/>
          <w:highlight w:val="none"/>
        </w:rPr>
        <w:t>四、评标定标方法</w:t>
      </w:r>
    </w:p>
    <w:p>
      <w:pPr>
        <w:pStyle w:val="19"/>
        <w:adjustRightInd w:val="0"/>
        <w:spacing w:line="440" w:lineRule="exact"/>
        <w:ind w:firstLine="640" w:firstLineChars="200"/>
        <w:rPr>
          <w:rFonts w:hint="eastAsia" w:ascii="方正仿宋_GBK" w:hAnsi="方正仿宋_GBK" w:eastAsia="方正仿宋_GBK" w:cs="方正仿宋_GBK"/>
          <w:b/>
          <w:bCs w:val="0"/>
          <w:color w:val="auto"/>
          <w:sz w:val="30"/>
          <w:szCs w:val="30"/>
          <w:highlight w:val="none"/>
        </w:rPr>
      </w:pPr>
      <w:r>
        <w:rPr>
          <w:rFonts w:hint="eastAsia" w:ascii="仿宋_GB2312" w:hAnsi="仿宋" w:eastAsia="仿宋_GB2312"/>
          <w:b w:val="0"/>
          <w:bCs/>
          <w:color w:val="auto"/>
          <w:sz w:val="32"/>
          <w:szCs w:val="32"/>
          <w:highlight w:val="none"/>
          <w:lang w:eastAsia="zh-CN"/>
        </w:rPr>
        <w:t>采用综合评分法。</w:t>
      </w:r>
    </w:p>
    <w:p>
      <w:pPr>
        <w:widowControl/>
        <w:shd w:val="clear" w:color="auto" w:fill="auto"/>
        <w:spacing w:line="440" w:lineRule="exact"/>
        <w:ind w:firstLine="602" w:firstLineChars="20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b/>
          <w:color w:val="auto"/>
          <w:sz w:val="30"/>
          <w:szCs w:val="30"/>
          <w:highlight w:val="none"/>
        </w:rPr>
        <w:t>五、商务需求</w:t>
      </w:r>
    </w:p>
    <w:p>
      <w:pPr>
        <w:widowControl/>
        <w:shd w:val="clear" w:color="auto" w:fill="auto"/>
        <w:spacing w:line="440" w:lineRule="exact"/>
        <w:ind w:firstLine="602" w:firstLineChars="200"/>
        <w:rPr>
          <w:rFonts w:hint="eastAsia" w:ascii="方正仿宋_GBK" w:hAnsi="方正仿宋_GBK" w:eastAsia="方正仿宋_GBK" w:cs="方正仿宋_GBK"/>
          <w:color w:val="auto"/>
          <w:kern w:val="2"/>
          <w:sz w:val="30"/>
          <w:szCs w:val="30"/>
          <w:highlight w:val="none"/>
          <w:lang w:bidi="ar-SA"/>
        </w:rPr>
      </w:pPr>
      <w:r>
        <w:rPr>
          <w:rFonts w:hint="eastAsia" w:ascii="方正仿宋_GBK" w:hAnsi="方正仿宋_GBK" w:eastAsia="方正仿宋_GBK" w:cs="方正仿宋_GBK"/>
          <w:b/>
          <w:bCs/>
          <w:color w:val="auto"/>
          <w:kern w:val="2"/>
          <w:sz w:val="30"/>
          <w:szCs w:val="30"/>
          <w:highlight w:val="none"/>
          <w:lang w:val="en-US" w:eastAsia="zh-CN" w:bidi="ar-SA"/>
        </w:rPr>
        <w:t>（一）服务期</w:t>
      </w:r>
      <w:r>
        <w:rPr>
          <w:rFonts w:hint="eastAsia" w:ascii="方正仿宋_GBK" w:hAnsi="方正仿宋_GBK" w:eastAsia="方正仿宋_GBK" w:cs="方正仿宋_GBK"/>
          <w:b w:val="0"/>
          <w:bCs w:val="0"/>
          <w:color w:val="auto"/>
          <w:kern w:val="2"/>
          <w:sz w:val="30"/>
          <w:szCs w:val="30"/>
          <w:highlight w:val="none"/>
          <w:lang w:val="en-US" w:eastAsia="zh-CN" w:bidi="ar-SA"/>
        </w:rPr>
        <w:t>：</w:t>
      </w:r>
      <w:r>
        <w:rPr>
          <w:rFonts w:hint="eastAsia" w:ascii="方正仿宋_GBK" w:hAnsi="方正仿宋_GBK" w:eastAsia="方正仿宋_GBK" w:cs="方正仿宋_GBK"/>
          <w:color w:val="auto"/>
          <w:sz w:val="30"/>
          <w:szCs w:val="30"/>
          <w:highlight w:val="none"/>
          <w:lang w:val="en-US" w:eastAsia="zh-CN"/>
        </w:rPr>
        <w:t>本项目服务期自合同签订之日起一年。本项目为长期服务项目，长期服务项目政府采购合同履行期限最长不得超过三十六个月，由采购人根据履约情况，决定是否续签合同，如采购人决定续签合同，合同一年一签，最多续签两次。</w:t>
      </w:r>
    </w:p>
    <w:p>
      <w:pPr>
        <w:spacing w:line="440" w:lineRule="exact"/>
        <w:ind w:firstLine="602" w:firstLineChars="20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b/>
          <w:bCs/>
          <w:color w:val="auto"/>
          <w:sz w:val="30"/>
          <w:szCs w:val="30"/>
          <w:highlight w:val="none"/>
        </w:rPr>
        <w:t>（二）服务地点：</w:t>
      </w:r>
      <w:r>
        <w:rPr>
          <w:rFonts w:hint="eastAsia" w:ascii="方正仿宋_GBK" w:hAnsi="方正仿宋_GBK" w:eastAsia="方正仿宋_GBK" w:cs="方正仿宋_GBK"/>
          <w:color w:val="auto"/>
          <w:sz w:val="30"/>
          <w:szCs w:val="30"/>
          <w:highlight w:val="none"/>
        </w:rPr>
        <w:t>市规划和自然资源局南山管理局。</w:t>
      </w:r>
    </w:p>
    <w:p>
      <w:pPr>
        <w:pStyle w:val="19"/>
        <w:keepNext w:val="0"/>
        <w:keepLines w:val="0"/>
        <w:pageBreakBefore w:val="0"/>
        <w:widowControl w:val="0"/>
        <w:kinsoku/>
        <w:wordWrap/>
        <w:overflowPunct/>
        <w:topLinePunct w:val="0"/>
        <w:autoSpaceDE/>
        <w:autoSpaceDN/>
        <w:bidi w:val="0"/>
        <w:adjustRightInd w:val="0"/>
        <w:snapToGrid/>
        <w:spacing w:line="44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kern w:val="2"/>
          <w:sz w:val="30"/>
          <w:szCs w:val="30"/>
          <w:highlight w:val="none"/>
          <w:lang w:eastAsia="zh-CN" w:bidi="ar-SA"/>
        </w:rPr>
        <w:t>（三）</w:t>
      </w:r>
      <w:r>
        <w:rPr>
          <w:rFonts w:hint="eastAsia" w:ascii="仿宋_GB2312" w:hAnsi="仿宋" w:eastAsia="仿宋_GB2312"/>
          <w:b/>
          <w:bCs/>
          <w:color w:val="auto"/>
          <w:sz w:val="32"/>
          <w:szCs w:val="32"/>
          <w:highlight w:val="none"/>
        </w:rPr>
        <w:t>报价要求</w:t>
      </w:r>
      <w:r>
        <w:rPr>
          <w:rFonts w:hint="eastAsia" w:ascii="仿宋_GB2312" w:hAnsi="仿宋" w:eastAsia="仿宋_GB2312"/>
          <w:color w:val="auto"/>
          <w:sz w:val="32"/>
          <w:szCs w:val="32"/>
          <w:highlight w:val="none"/>
        </w:rPr>
        <w:t xml:space="preserve">： </w:t>
      </w:r>
    </w:p>
    <w:p>
      <w:pPr>
        <w:spacing w:line="440" w:lineRule="exact"/>
        <w:ind w:firstLine="64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1.本项目预算金额人民币</w:t>
      </w: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rPr>
        <w:t>0万元，采购</w:t>
      </w: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rPr>
        <w:t>家律师事务所为我局提供法律顾问服务。</w:t>
      </w:r>
      <w:r>
        <w:rPr>
          <w:rFonts w:hint="eastAsia" w:ascii="方正仿宋_GBK" w:hAnsi="方正仿宋_GBK" w:eastAsia="方正仿宋_GBK" w:cs="方正仿宋_GBK"/>
          <w:color w:val="auto"/>
          <w:sz w:val="30"/>
          <w:szCs w:val="30"/>
          <w:highlight w:val="none"/>
          <w:lang w:val="en-US" w:eastAsia="zh-CN"/>
        </w:rPr>
        <w:t>各</w:t>
      </w:r>
      <w:r>
        <w:rPr>
          <w:rFonts w:hint="eastAsia" w:ascii="方正仿宋_GBK" w:hAnsi="方正仿宋_GBK" w:eastAsia="方正仿宋_GBK" w:cs="方正仿宋_GBK"/>
          <w:color w:val="auto"/>
          <w:sz w:val="30"/>
          <w:szCs w:val="30"/>
          <w:highlight w:val="none"/>
        </w:rPr>
        <w:t>投标供应商的报价不得超过项目预算金额</w:t>
      </w:r>
      <w:r>
        <w:rPr>
          <w:rFonts w:hint="eastAsia" w:ascii="方正仿宋_GBK" w:hAnsi="方正仿宋_GBK" w:eastAsia="方正仿宋_GBK" w:cs="方正仿宋_GBK"/>
          <w:color w:val="auto"/>
          <w:sz w:val="30"/>
          <w:szCs w:val="30"/>
          <w:highlight w:val="none"/>
          <w:lang w:val="en-US" w:eastAsia="zh-CN"/>
        </w:rPr>
        <w:t>10</w:t>
      </w:r>
      <w:r>
        <w:rPr>
          <w:rFonts w:hint="eastAsia" w:ascii="方正仿宋_GBK" w:hAnsi="方正仿宋_GBK" w:eastAsia="方正仿宋_GBK" w:cs="方正仿宋_GBK"/>
          <w:color w:val="auto"/>
          <w:sz w:val="30"/>
          <w:szCs w:val="30"/>
          <w:highlight w:val="none"/>
        </w:rPr>
        <w:t>万元，报价超过</w:t>
      </w:r>
      <w:r>
        <w:rPr>
          <w:rFonts w:hint="eastAsia" w:ascii="方正仿宋_GBK" w:hAnsi="方正仿宋_GBK" w:eastAsia="方正仿宋_GBK" w:cs="方正仿宋_GBK"/>
          <w:color w:val="auto"/>
          <w:sz w:val="30"/>
          <w:szCs w:val="30"/>
          <w:highlight w:val="none"/>
          <w:lang w:val="en-US" w:eastAsia="zh-CN"/>
        </w:rPr>
        <w:t>预算</w:t>
      </w:r>
      <w:r>
        <w:rPr>
          <w:rFonts w:hint="eastAsia" w:ascii="方正仿宋_GBK" w:hAnsi="方正仿宋_GBK" w:eastAsia="方正仿宋_GBK" w:cs="方正仿宋_GBK"/>
          <w:color w:val="auto"/>
          <w:sz w:val="30"/>
          <w:szCs w:val="30"/>
          <w:highlight w:val="none"/>
        </w:rPr>
        <w:t>金额</w:t>
      </w:r>
      <w:r>
        <w:rPr>
          <w:rFonts w:hint="eastAsia" w:ascii="方正仿宋_GBK" w:hAnsi="方正仿宋_GBK" w:eastAsia="方正仿宋_GBK" w:cs="方正仿宋_GBK"/>
          <w:color w:val="auto"/>
          <w:sz w:val="30"/>
          <w:szCs w:val="30"/>
          <w:highlight w:val="none"/>
          <w:lang w:val="en-US" w:eastAsia="zh-CN"/>
        </w:rPr>
        <w:t>的作投标</w:t>
      </w:r>
      <w:r>
        <w:rPr>
          <w:rFonts w:hint="eastAsia" w:ascii="方正仿宋_GBK" w:hAnsi="方正仿宋_GBK" w:eastAsia="方正仿宋_GBK" w:cs="方正仿宋_GBK"/>
          <w:color w:val="auto"/>
          <w:sz w:val="30"/>
          <w:szCs w:val="30"/>
          <w:highlight w:val="none"/>
        </w:rPr>
        <w:t>无效</w:t>
      </w:r>
      <w:r>
        <w:rPr>
          <w:rFonts w:hint="eastAsia" w:ascii="方正仿宋_GBK" w:hAnsi="方正仿宋_GBK" w:eastAsia="方正仿宋_GBK" w:cs="方正仿宋_GBK"/>
          <w:color w:val="auto"/>
          <w:sz w:val="30"/>
          <w:szCs w:val="30"/>
          <w:highlight w:val="none"/>
          <w:lang w:val="en-US" w:eastAsia="zh-CN"/>
        </w:rPr>
        <w:t>处理</w:t>
      </w:r>
      <w:r>
        <w:rPr>
          <w:rFonts w:hint="eastAsia" w:ascii="方正仿宋_GBK" w:hAnsi="方正仿宋_GBK" w:eastAsia="方正仿宋_GBK" w:cs="方正仿宋_GBK"/>
          <w:color w:val="auto"/>
          <w:sz w:val="30"/>
          <w:szCs w:val="30"/>
          <w:highlight w:val="none"/>
        </w:rPr>
        <w:t>。</w:t>
      </w:r>
    </w:p>
    <w:p>
      <w:pPr>
        <w:spacing w:line="440" w:lineRule="exact"/>
        <w:ind w:firstLine="64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2.本项目服务费采用包干制，应包括服务成本、法定税费和企业的利润。一经中标，报价总价作为中标供应商与采购人签定的合同金额，合同期限内不做调整。</w:t>
      </w:r>
    </w:p>
    <w:p>
      <w:pPr>
        <w:spacing w:line="440" w:lineRule="exact"/>
        <w:ind w:firstLine="64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3.投标供应商的报价，应当是本项目采购范围和采购文件及合同条款上所列的各项内容中所述的全部，不得以任何理由予以重复。</w:t>
      </w:r>
    </w:p>
    <w:p>
      <w:pPr>
        <w:spacing w:line="440" w:lineRule="exact"/>
        <w:ind w:firstLine="64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4.投标供应商不得期望通过索赔等方式获取补偿，否则，除可能遭到拒绝外，还可能将被作为不良行为记录在案，并可能影响其以后参加政府采购的项目投标。各投标供应商在报价时，应充分考虑报价的风险。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5.投标供应商应当根据本企业的成本自行决定报价，但不得以低于其企业成本的报价投标。</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spacing w:line="440" w:lineRule="exact"/>
        <w:ind w:firstLine="64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lang w:val="en-US" w:eastAsia="zh-CN"/>
        </w:rPr>
        <w:t>7.投标供应商应先到项目地点踏勘以充分了解项目的位置、情况、道路及任何其它足以影响投标报价的情况，任何因忽视或误解项目情况而导致的索赔或服务期限延长申请将不获批准。</w:t>
      </w:r>
    </w:p>
    <w:p>
      <w:pPr>
        <w:widowControl/>
        <w:shd w:val="clear" w:color="auto" w:fill="FFFFFF"/>
        <w:ind w:firstLine="642" w:firstLineChars="200"/>
        <w:rPr>
          <w:rFonts w:hint="eastAsia" w:ascii="仿宋_GB2312" w:hAnsi="仿宋" w:eastAsia="仿宋_GB2312"/>
          <w:color w:val="auto"/>
          <w:sz w:val="32"/>
          <w:szCs w:val="32"/>
          <w:highlight w:val="none"/>
        </w:rPr>
      </w:pPr>
      <w:r>
        <w:rPr>
          <w:rFonts w:hint="eastAsia" w:ascii="仿宋_GB2312" w:hAnsi="仿宋" w:eastAsia="仿宋_GB2312"/>
          <w:b/>
          <w:bCs/>
          <w:color w:val="auto"/>
          <w:sz w:val="32"/>
          <w:szCs w:val="32"/>
          <w:highlight w:val="none"/>
        </w:rPr>
        <w:t>（四）中标规则</w:t>
      </w:r>
      <w:r>
        <w:rPr>
          <w:rFonts w:hint="eastAsia" w:ascii="仿宋_GB2312" w:hAnsi="仿宋" w:eastAsia="仿宋_GB2312"/>
          <w:color w:val="auto"/>
          <w:sz w:val="32"/>
          <w:szCs w:val="32"/>
          <w:highlight w:val="none"/>
        </w:rPr>
        <w:t>：本项目采用综合评标法，综合分数最高</w:t>
      </w:r>
      <w:r>
        <w:rPr>
          <w:rFonts w:hint="eastAsia" w:ascii="仿宋_GB2312" w:hAnsi="仿宋" w:eastAsia="仿宋_GB2312"/>
          <w:color w:val="auto"/>
          <w:sz w:val="32"/>
          <w:szCs w:val="32"/>
          <w:highlight w:val="none"/>
          <w:lang w:eastAsia="zh-CN"/>
        </w:rPr>
        <w:t>的</w:t>
      </w:r>
      <w:r>
        <w:rPr>
          <w:rFonts w:hint="eastAsia" w:ascii="仿宋_GB2312" w:hAnsi="仿宋" w:eastAsia="仿宋_GB2312"/>
          <w:color w:val="auto"/>
          <w:sz w:val="32"/>
          <w:szCs w:val="32"/>
          <w:highlight w:val="none"/>
        </w:rPr>
        <w:t>为中标供应商。</w:t>
      </w:r>
    </w:p>
    <w:p>
      <w:pPr>
        <w:numPr>
          <w:ilvl w:val="0"/>
          <w:numId w:val="0"/>
        </w:numPr>
        <w:spacing w:line="440" w:lineRule="exact"/>
        <w:ind w:firstLine="602" w:firstLineChars="200"/>
        <w:rPr>
          <w:rFonts w:hint="eastAsia" w:ascii="仿宋_GB2312" w:hAnsi="仿宋" w:eastAsia="仿宋_GB2312"/>
          <w:color w:val="auto"/>
          <w:sz w:val="32"/>
          <w:szCs w:val="32"/>
          <w:highlight w:val="none"/>
        </w:rPr>
      </w:pPr>
      <w:r>
        <w:rPr>
          <w:rFonts w:hint="eastAsia" w:ascii="方正仿宋_GBK" w:hAnsi="方正仿宋_GBK" w:eastAsia="方正仿宋_GBK" w:cs="方正仿宋_GBK"/>
          <w:b/>
          <w:bCs/>
          <w:color w:val="auto"/>
          <w:sz w:val="30"/>
          <w:szCs w:val="30"/>
          <w:highlight w:val="none"/>
          <w:lang w:eastAsia="zh-CN"/>
        </w:rPr>
        <w:t>（五）</w:t>
      </w:r>
      <w:r>
        <w:rPr>
          <w:rFonts w:hint="eastAsia" w:ascii="方正仿宋_GBK" w:hAnsi="方正仿宋_GBK" w:eastAsia="方正仿宋_GBK" w:cs="方正仿宋_GBK"/>
          <w:b/>
          <w:bCs/>
          <w:color w:val="auto"/>
          <w:sz w:val="30"/>
          <w:szCs w:val="30"/>
          <w:highlight w:val="none"/>
        </w:rPr>
        <w:t>付款方式</w:t>
      </w:r>
      <w:r>
        <w:rPr>
          <w:rFonts w:hint="eastAsia" w:ascii="方正仿宋_GBK" w:hAnsi="方正仿宋_GBK" w:eastAsia="方正仿宋_GBK" w:cs="方正仿宋_GBK"/>
          <w:color w:val="auto"/>
          <w:sz w:val="30"/>
          <w:szCs w:val="30"/>
          <w:highlight w:val="none"/>
        </w:rPr>
        <w:t>：</w:t>
      </w:r>
      <w:r>
        <w:rPr>
          <w:rFonts w:hint="eastAsia" w:ascii="仿宋_GB2312" w:hAnsi="仿宋" w:eastAsia="仿宋_GB2312"/>
          <w:color w:val="auto"/>
          <w:sz w:val="32"/>
          <w:szCs w:val="32"/>
          <w:highlight w:val="none"/>
        </w:rPr>
        <w:t>采用分期付款方式，分2期支付。</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首期：自双方签订合同之日起10个工作日内，由供应商向采购方开具合法票据并提出付款申请，采购方待财政部门资金批复落实后向供应商支付合同总价款的70%。</w:t>
      </w:r>
    </w:p>
    <w:p>
      <w:pPr>
        <w:spacing w:line="440" w:lineRule="exact"/>
        <w:ind w:firstLine="64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lang w:val="en-US" w:eastAsia="zh-CN"/>
        </w:rPr>
        <w:t>第二期：完成合同规定的各项工作内容，经采购商验收后，由供应商向采购方开具合法票据并提出付款申请，采购方待财政部门资金批复落实后向供应商支付合同总价款的30%。</w:t>
      </w:r>
    </w:p>
    <w:p>
      <w:pPr>
        <w:spacing w:line="440" w:lineRule="exact"/>
        <w:ind w:firstLine="602" w:firstLineChars="20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b/>
          <w:bCs/>
          <w:color w:val="auto"/>
          <w:sz w:val="30"/>
          <w:szCs w:val="30"/>
          <w:highlight w:val="none"/>
        </w:rPr>
        <w:t>（</w:t>
      </w:r>
      <w:r>
        <w:rPr>
          <w:rFonts w:hint="eastAsia" w:ascii="方正仿宋_GBK" w:hAnsi="方正仿宋_GBK" w:eastAsia="方正仿宋_GBK" w:cs="方正仿宋_GBK"/>
          <w:b/>
          <w:bCs/>
          <w:color w:val="auto"/>
          <w:sz w:val="30"/>
          <w:szCs w:val="30"/>
          <w:highlight w:val="none"/>
          <w:lang w:eastAsia="zh-CN"/>
        </w:rPr>
        <w:t>六</w:t>
      </w:r>
      <w:r>
        <w:rPr>
          <w:rFonts w:hint="eastAsia" w:ascii="方正仿宋_GBK" w:hAnsi="方正仿宋_GBK" w:eastAsia="方正仿宋_GBK" w:cs="方正仿宋_GBK"/>
          <w:b/>
          <w:bCs/>
          <w:color w:val="auto"/>
          <w:sz w:val="30"/>
          <w:szCs w:val="30"/>
          <w:highlight w:val="none"/>
        </w:rPr>
        <w:t>）验收方式</w:t>
      </w:r>
      <w:r>
        <w:rPr>
          <w:rFonts w:hint="eastAsia" w:ascii="方正仿宋_GBK" w:hAnsi="方正仿宋_GBK" w:eastAsia="方正仿宋_GBK" w:cs="方正仿宋_GBK"/>
          <w:color w:val="auto"/>
          <w:sz w:val="30"/>
          <w:szCs w:val="30"/>
          <w:highlight w:val="none"/>
        </w:rPr>
        <w:t>：业务会审查验收。</w:t>
      </w:r>
    </w:p>
    <w:p>
      <w:pPr>
        <w:spacing w:line="440" w:lineRule="exact"/>
        <w:ind w:firstLine="602" w:firstLineChars="20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b/>
          <w:bCs/>
          <w:color w:val="auto"/>
          <w:sz w:val="30"/>
          <w:szCs w:val="30"/>
          <w:highlight w:val="none"/>
        </w:rPr>
        <w:t>（</w:t>
      </w:r>
      <w:r>
        <w:rPr>
          <w:rFonts w:hint="eastAsia" w:ascii="方正仿宋_GBK" w:hAnsi="方正仿宋_GBK" w:eastAsia="方正仿宋_GBK" w:cs="方正仿宋_GBK"/>
          <w:b/>
          <w:bCs/>
          <w:color w:val="auto"/>
          <w:sz w:val="30"/>
          <w:szCs w:val="30"/>
          <w:highlight w:val="none"/>
          <w:lang w:eastAsia="zh-CN"/>
        </w:rPr>
        <w:t>七</w:t>
      </w:r>
      <w:r>
        <w:rPr>
          <w:rFonts w:hint="eastAsia" w:ascii="方正仿宋_GBK" w:hAnsi="方正仿宋_GBK" w:eastAsia="方正仿宋_GBK" w:cs="方正仿宋_GBK"/>
          <w:b/>
          <w:bCs/>
          <w:color w:val="auto"/>
          <w:sz w:val="30"/>
          <w:szCs w:val="30"/>
          <w:highlight w:val="none"/>
        </w:rPr>
        <w:t>）经费来源</w:t>
      </w:r>
      <w:r>
        <w:rPr>
          <w:rFonts w:hint="eastAsia" w:ascii="方正仿宋_GBK" w:hAnsi="方正仿宋_GBK" w:eastAsia="方正仿宋_GBK" w:cs="方正仿宋_GBK"/>
          <w:color w:val="auto"/>
          <w:sz w:val="30"/>
          <w:szCs w:val="30"/>
          <w:highlight w:val="none"/>
        </w:rPr>
        <w:t>：从</w:t>
      </w:r>
      <w:r>
        <w:rPr>
          <w:rFonts w:hint="eastAsia" w:ascii="方正仿宋_GBK" w:hAnsi="方正仿宋_GBK" w:eastAsia="方正仿宋_GBK" w:cs="方正仿宋_GBK"/>
          <w:color w:val="auto"/>
          <w:sz w:val="30"/>
          <w:szCs w:val="30"/>
          <w:highlight w:val="none"/>
          <w:lang w:eastAsia="zh-CN"/>
        </w:rPr>
        <w:t>市</w:t>
      </w:r>
      <w:r>
        <w:rPr>
          <w:rFonts w:hint="eastAsia" w:ascii="方正仿宋_GBK" w:hAnsi="方正仿宋_GBK" w:eastAsia="方正仿宋_GBK" w:cs="方正仿宋_GBK"/>
          <w:color w:val="auto"/>
          <w:sz w:val="30"/>
          <w:szCs w:val="30"/>
          <w:highlight w:val="none"/>
        </w:rPr>
        <w:t>部门</w:t>
      </w:r>
      <w:r>
        <w:rPr>
          <w:rFonts w:hint="eastAsia" w:ascii="方正仿宋_GBK" w:hAnsi="方正仿宋_GBK" w:eastAsia="方正仿宋_GBK" w:cs="方正仿宋_GBK"/>
          <w:color w:val="auto"/>
          <w:sz w:val="30"/>
          <w:szCs w:val="30"/>
          <w:highlight w:val="none"/>
          <w:lang w:eastAsia="zh-CN"/>
        </w:rPr>
        <w:t>预算</w:t>
      </w:r>
      <w:r>
        <w:rPr>
          <w:rFonts w:hint="eastAsia" w:ascii="方正仿宋_GBK" w:hAnsi="方正仿宋_GBK" w:eastAsia="方正仿宋_GBK" w:cs="方正仿宋_GBK"/>
          <w:color w:val="auto"/>
          <w:sz w:val="30"/>
          <w:szCs w:val="30"/>
          <w:highlight w:val="none"/>
        </w:rPr>
        <w:t>经费中列支。</w:t>
      </w:r>
    </w:p>
    <w:p>
      <w:pPr>
        <w:spacing w:line="440" w:lineRule="exact"/>
        <w:ind w:firstLine="587" w:firstLineChars="195"/>
        <w:rPr>
          <w:rFonts w:hint="eastAsia" w:ascii="仿宋_GB2312" w:hAnsi="仿宋" w:eastAsia="方正仿宋_GBK"/>
          <w:color w:val="auto"/>
          <w:sz w:val="32"/>
          <w:szCs w:val="32"/>
          <w:highlight w:val="none"/>
          <w:lang w:eastAsia="zh-CN"/>
        </w:rPr>
      </w:pPr>
      <w:r>
        <w:rPr>
          <w:rFonts w:hint="eastAsia" w:ascii="方正仿宋_GBK" w:hAnsi="方正仿宋_GBK" w:eastAsia="方正仿宋_GBK" w:cs="方正仿宋_GBK"/>
          <w:b/>
          <w:bCs/>
          <w:color w:val="auto"/>
          <w:sz w:val="30"/>
          <w:szCs w:val="30"/>
          <w:highlight w:val="none"/>
        </w:rPr>
        <w:t>（</w:t>
      </w:r>
      <w:r>
        <w:rPr>
          <w:rFonts w:hint="eastAsia" w:ascii="方正仿宋_GBK" w:hAnsi="方正仿宋_GBK" w:eastAsia="方正仿宋_GBK" w:cs="方正仿宋_GBK"/>
          <w:b/>
          <w:bCs/>
          <w:color w:val="auto"/>
          <w:sz w:val="30"/>
          <w:szCs w:val="30"/>
          <w:highlight w:val="none"/>
          <w:lang w:eastAsia="zh-CN"/>
        </w:rPr>
        <w:t>八</w:t>
      </w:r>
      <w:r>
        <w:rPr>
          <w:rFonts w:hint="eastAsia" w:ascii="方正仿宋_GBK" w:hAnsi="方正仿宋_GBK" w:eastAsia="方正仿宋_GBK" w:cs="方正仿宋_GBK"/>
          <w:b/>
          <w:bCs/>
          <w:color w:val="auto"/>
          <w:sz w:val="30"/>
          <w:szCs w:val="30"/>
          <w:highlight w:val="none"/>
        </w:rPr>
        <w:t>）履约担保金</w:t>
      </w:r>
      <w:r>
        <w:rPr>
          <w:rFonts w:hint="eastAsia" w:ascii="方正仿宋_GBK" w:hAnsi="方正仿宋_GBK" w:eastAsia="方正仿宋_GBK" w:cs="方正仿宋_GBK"/>
          <w:color w:val="auto"/>
          <w:sz w:val="30"/>
          <w:szCs w:val="30"/>
          <w:highlight w:val="none"/>
        </w:rPr>
        <w:t>：</w:t>
      </w:r>
      <w:r>
        <w:rPr>
          <w:rFonts w:hint="eastAsia" w:ascii="方正仿宋_GBK" w:hAnsi="方正仿宋_GBK" w:eastAsia="方正仿宋_GBK" w:cs="方正仿宋_GBK"/>
          <w:color w:val="auto"/>
          <w:sz w:val="30"/>
          <w:szCs w:val="30"/>
          <w:highlight w:val="none"/>
          <w:lang w:eastAsia="zh-CN"/>
        </w:rPr>
        <w:t>无</w:t>
      </w:r>
    </w:p>
    <w:p>
      <w:pPr>
        <w:spacing w:line="440" w:lineRule="exact"/>
        <w:ind w:firstLine="587" w:firstLineChars="195"/>
        <w:rPr>
          <w:rFonts w:hint="eastAsia" w:ascii="方正仿宋_GBK" w:hAnsi="方正仿宋_GBK" w:eastAsia="方正仿宋_GBK" w:cs="方正仿宋_GBK"/>
          <w:b/>
          <w:bCs/>
          <w:color w:val="auto"/>
          <w:sz w:val="30"/>
          <w:szCs w:val="30"/>
          <w:highlight w:val="none"/>
        </w:rPr>
      </w:pPr>
      <w:r>
        <w:rPr>
          <w:rFonts w:hint="eastAsia" w:ascii="方正仿宋_GBK" w:hAnsi="方正仿宋_GBK" w:eastAsia="方正仿宋_GBK" w:cs="方正仿宋_GBK"/>
          <w:b/>
          <w:bCs/>
          <w:color w:val="auto"/>
          <w:sz w:val="30"/>
          <w:szCs w:val="30"/>
          <w:highlight w:val="none"/>
        </w:rPr>
        <w:t>（</w:t>
      </w:r>
      <w:r>
        <w:rPr>
          <w:rFonts w:hint="eastAsia" w:ascii="方正仿宋_GBK" w:hAnsi="方正仿宋_GBK" w:eastAsia="方正仿宋_GBK" w:cs="方正仿宋_GBK"/>
          <w:b/>
          <w:bCs/>
          <w:color w:val="auto"/>
          <w:sz w:val="30"/>
          <w:szCs w:val="30"/>
          <w:highlight w:val="none"/>
          <w:lang w:eastAsia="zh-CN"/>
        </w:rPr>
        <w:t>九</w:t>
      </w:r>
      <w:r>
        <w:rPr>
          <w:rFonts w:hint="eastAsia" w:ascii="方正仿宋_GBK" w:hAnsi="方正仿宋_GBK" w:eastAsia="方正仿宋_GBK" w:cs="方正仿宋_GBK"/>
          <w:b/>
          <w:bCs/>
          <w:color w:val="auto"/>
          <w:sz w:val="30"/>
          <w:szCs w:val="30"/>
          <w:highlight w:val="none"/>
        </w:rPr>
        <w:t>）违约责任：</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bookmarkStart w:id="0" w:name="_Hlk131628901"/>
      <w:r>
        <w:rPr>
          <w:rFonts w:hint="eastAsia" w:ascii="方正仿宋_GBK" w:hAnsi="方正仿宋_GBK" w:eastAsia="方正仿宋_GBK" w:cs="方正仿宋_GBK"/>
          <w:color w:val="auto"/>
          <w:sz w:val="30"/>
          <w:szCs w:val="30"/>
          <w:highlight w:val="none"/>
          <w:lang w:val="en-US" w:eastAsia="zh-CN"/>
        </w:rPr>
        <w:t xml:space="preserve">1.合同生效后，双方不得任意终止合同，否则赔偿对方合同总价款的 / %作为违约金。 </w:t>
      </w:r>
    </w:p>
    <w:bookmarkEnd w:id="0"/>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bookmarkStart w:id="1" w:name="_Hlk131628926"/>
      <w:bookmarkStart w:id="2" w:name="_Hlk132105274"/>
      <w:r>
        <w:rPr>
          <w:rFonts w:hint="eastAsia" w:ascii="方正仿宋_GBK" w:hAnsi="方正仿宋_GBK" w:eastAsia="方正仿宋_GBK" w:cs="方正仿宋_GBK"/>
          <w:color w:val="auto"/>
          <w:sz w:val="30"/>
          <w:szCs w:val="30"/>
          <w:highlight w:val="none"/>
          <w:lang w:val="en-US" w:eastAsia="zh-CN"/>
        </w:rPr>
        <w:t>2.</w:t>
      </w:r>
      <w:bookmarkEnd w:id="1"/>
      <w:bookmarkEnd w:id="2"/>
      <w:bookmarkStart w:id="3" w:name="_Hlk132105600"/>
      <w:r>
        <w:rPr>
          <w:rFonts w:hint="eastAsia" w:ascii="方正仿宋_GBK" w:hAnsi="方正仿宋_GBK" w:eastAsia="方正仿宋_GBK" w:cs="方正仿宋_GBK"/>
          <w:color w:val="auto"/>
          <w:sz w:val="30"/>
          <w:szCs w:val="30"/>
          <w:highlight w:val="none"/>
          <w:lang w:val="en-US" w:eastAsia="zh-CN"/>
        </w:rPr>
        <w:t>乙方违约责任</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（1）合同签订后，如乙方擅自中途终止或解除合同，乙方须归还甲方预付的全部项目款并向甲方赔偿合同总价款的  10%的违约金。</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未经甲方许可，乙方将本合同项目与第三方合作，或将本合同标的的全部或部分擅自转包给第三方的，甲方有权要求乙方终止与第三方的合同。乙方应承担因此而产生的相关责任，并应向甲方支付本合同总价款的10%的违约金。</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（3）如乙方因自身原因不能履行合同义务或无法按照本合同约定提供服务，甲方有权终止合同，损失由乙方承担，乙方应向甲方支付本合同总价款的10%的违约金，同时要求乙方退回全部已收合同款项。</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（4）乙方无正当理由不按照本合同的约定提供法律服务或者违反规定的义务，甲方有权要求乙方退还部分或者全部已付的法律咨询服务费和其他费用，并应向甲方支付本合同总价款的10%的违约金。</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本合同履行期间，乙方因自身原因未能按合同约定的日期(含协商延缓的日期)提交项目成果和造成验收时间延后，验收的相关费用由乙方承担。给甲方造成损失的，损害由乙方承担，每逾期一天须支付给甲方合同总价款的10‰作为违约金，逾期违约金总额不超过合同总价款的10%。</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由于乙方工作的错误或遗漏造成服务验收不合格的，甲方给予乙方一定的宽限期，乙方应在宽限期内无偿予以重新开展工作或采取补救措施，以达到质量要求，且应免收受损失部分的合同价款，并支付合同总价款10%的违约金。如甲方提出异议后乙方不作答复或者无理由推脱的或乙方无法在宽限期内完成整改的，甲方有权终止合同，损失由乙方承担，乙方须退回合同全额费用，并要求乙方支付合同总价款10%的违约金。因服务不符合合同要求给甲方造成损失的，乙方应负全部责任。</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（7）乙方未按本合同约定，擅自修改已经提交验收的成果文件的，应承担因此产生的一切后果，并赔偿甲方合同总价款10%的违约金。</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（8）乙方组织的项目承办人员不符合本合同约定的工作内容和专业、资质要求，或未经甲方同意，乙方擅自变更约定的项目承办人员，甲方有权责成乙方采取补救措施或调整项目承办人员。</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（9）本项目最终验收后1年以内，乙方未按甲方要求就本项目提供必要解释和接受咨询的，甲方可要求乙方承担合同总价款10%的违约金，上述违约金可以在支付合同款项时优先予以扣除。</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（10）合同履行期间，如乙方承担第三方委托的本项目范围内有利益冲突的其他项目，一经发现，无论合同正在履行或已履行完毕，甲方均有权追究乙方责任，并要求乙方支付合同总价款10%的违约金。</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（11）如乙方提交的服务成果侵犯第三方合法权益的，一切法律责任均由乙方承担，同时乙方保证甲方在第三方主张权益时免受损失，并赔偿甲方合同总价款10%的违约金。</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（12）乙方律师因过错导致甲方蒙受重大经济损失，乙方应当承担赔偿责任。</w:t>
      </w:r>
      <w:bookmarkEnd w:id="3"/>
    </w:p>
    <w:p>
      <w:pPr>
        <w:spacing w:line="240" w:lineRule="auto"/>
        <w:ind w:firstLine="642" w:firstLineChars="200"/>
        <w:rPr>
          <w:rFonts w:hint="eastAsia" w:ascii="仿宋_GB2312" w:hAnsi="仿宋" w:eastAsia="仿宋_GB2312" w:cstheme="minorBidi"/>
          <w:b/>
          <w:bCs w:val="0"/>
          <w:color w:val="auto"/>
          <w:kern w:val="2"/>
          <w:sz w:val="32"/>
          <w:szCs w:val="32"/>
          <w:highlight w:val="none"/>
          <w:lang w:eastAsia="zh-CN"/>
        </w:rPr>
      </w:pPr>
      <w:r>
        <w:rPr>
          <w:rFonts w:hint="eastAsia" w:ascii="仿宋_GB2312" w:hAnsi="仿宋" w:eastAsia="仿宋_GB2312"/>
          <w:b/>
          <w:bCs w:val="0"/>
          <w:color w:val="auto"/>
          <w:sz w:val="32"/>
          <w:szCs w:val="32"/>
          <w:highlight w:val="none"/>
          <w:lang w:eastAsia="zh-CN"/>
        </w:rPr>
        <w:t>六、</w:t>
      </w:r>
      <w:r>
        <w:rPr>
          <w:rFonts w:hint="eastAsia" w:ascii="仿宋_GB2312" w:hAnsi="仿宋" w:eastAsia="仿宋_GB2312" w:cstheme="minorBidi"/>
          <w:b/>
          <w:bCs w:val="0"/>
          <w:color w:val="auto"/>
          <w:kern w:val="2"/>
          <w:sz w:val="32"/>
          <w:szCs w:val="32"/>
          <w:highlight w:val="none"/>
        </w:rPr>
        <w:t>评标办法</w:t>
      </w:r>
      <w:r>
        <w:rPr>
          <w:rFonts w:hint="eastAsia" w:ascii="仿宋_GB2312" w:hAnsi="仿宋" w:eastAsia="仿宋_GB2312" w:cstheme="minorBidi"/>
          <w:b/>
          <w:bCs w:val="0"/>
          <w:color w:val="auto"/>
          <w:kern w:val="2"/>
          <w:sz w:val="32"/>
          <w:szCs w:val="32"/>
          <w:highlight w:val="none"/>
          <w:lang w:eastAsia="zh-CN"/>
        </w:rPr>
        <w:t>：</w:t>
      </w:r>
    </w:p>
    <w:p>
      <w:pPr>
        <w:spacing w:line="240" w:lineRule="auto"/>
        <w:ind w:firstLine="640" w:firstLineChars="200"/>
        <w:rPr>
          <w:rFonts w:hint="eastAsia" w:ascii="仿宋_GB2312" w:hAnsi="仿宋" w:eastAsia="仿宋_GB2312"/>
          <w:bCs/>
          <w:color w:val="auto"/>
          <w:sz w:val="32"/>
          <w:szCs w:val="32"/>
          <w:highlight w:val="none"/>
        </w:rPr>
      </w:pPr>
      <w:r>
        <w:rPr>
          <w:rFonts w:hint="eastAsia" w:ascii="仿宋_GB2312" w:hAnsi="仿宋" w:eastAsia="仿宋_GB2312"/>
          <w:bCs/>
          <w:color w:val="auto"/>
          <w:sz w:val="32"/>
          <w:szCs w:val="32"/>
          <w:highlight w:val="none"/>
        </w:rPr>
        <w:t>本项目</w:t>
      </w:r>
      <w:r>
        <w:rPr>
          <w:rFonts w:hint="eastAsia" w:ascii="仿宋_GB2312" w:hAnsi="仿宋" w:eastAsia="仿宋_GB2312"/>
          <w:bCs/>
          <w:color w:val="auto"/>
          <w:sz w:val="32"/>
          <w:szCs w:val="32"/>
          <w:highlight w:val="none"/>
          <w:lang w:eastAsia="zh-CN"/>
        </w:rPr>
        <w:t>委托代理机构开展采购工作，</w:t>
      </w:r>
      <w:r>
        <w:rPr>
          <w:rFonts w:hint="eastAsia" w:ascii="仿宋_GB2312" w:hAnsi="仿宋" w:eastAsia="仿宋_GB2312"/>
          <w:bCs/>
          <w:color w:val="auto"/>
          <w:sz w:val="32"/>
          <w:szCs w:val="32"/>
          <w:highlight w:val="none"/>
        </w:rPr>
        <w:t>采用综合评标法，综合分数最高的为中标供应商。</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本次评标采用综合评分法，采用综合评分法的，评标结果按评审后得分由高到低顺序排列。得分相同的，按投标报价由低到高顺序排列。得分且投标报价相同的，按技术或服务方案优劣顺序排列。投标文件满足招标文件全部实质性要求，且按照评审因素的量化指标评审得分最高及次高的投标人为排名第一、第二的中标候选人，前两名作为中标候选供应商，采购人授权评标委员会直接确定第一名作为中标供应商。评标委员会对每个通过资格性检查和符合性检查且报价不超过预算控制金额的投标供应商进行评审、打分，然后汇总每个投标供应商每项评分因素的评分。</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评委会在评标时，按照以下量化的评审因素，对进入该阶段评审的各投标文件进行分析和比较：</w:t>
      </w:r>
    </w:p>
    <w:p>
      <w:pPr>
        <w:ind w:firstLine="640" w:firstLineChars="200"/>
        <w:rPr>
          <w:rFonts w:hint="eastAsia" w:ascii="仿宋_GB2312" w:hAnsi="仿宋" w:eastAsia="仿宋_GB2312"/>
          <w:b w:val="0"/>
          <w:bCs/>
          <w:color w:val="auto"/>
          <w:sz w:val="32"/>
          <w:szCs w:val="32"/>
          <w:highlight w:val="none"/>
        </w:rPr>
      </w:pPr>
      <w:r>
        <w:rPr>
          <w:rFonts w:hint="eastAsia" w:ascii="仿宋_GB2312" w:hAnsi="仿宋" w:eastAsia="仿宋_GB2312"/>
          <w:b w:val="0"/>
          <w:bCs/>
          <w:color w:val="auto"/>
          <w:sz w:val="32"/>
          <w:szCs w:val="32"/>
          <w:highlight w:val="none"/>
          <w:lang w:eastAsia="zh-CN"/>
        </w:rPr>
        <w:t>（一）</w:t>
      </w:r>
      <w:r>
        <w:rPr>
          <w:rFonts w:hint="eastAsia" w:ascii="仿宋_GB2312" w:hAnsi="仿宋" w:eastAsia="仿宋_GB2312"/>
          <w:b w:val="0"/>
          <w:bCs/>
          <w:color w:val="auto"/>
          <w:sz w:val="32"/>
          <w:szCs w:val="32"/>
          <w:highlight w:val="none"/>
        </w:rPr>
        <w:t>价格分计算方法：</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 xml:space="preserve">采用低价优先法计算，即满足招标文件要求且投标价格最低的投标报价为评标基准价，其价格分为满分。其他投标人的价格分统一按照下列公式计算： </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投标报价得分=(评标基准价／投标报价)×权重</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 xml:space="preserve">评标总得分＝F1×A1＋F2×A2＋……＋Fn×An </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 xml:space="preserve">F1、F2……Fn分别为各项评审因素的得分； </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 xml:space="preserve">A1、A2、……An 分别为各项评审因素所占的权重(A1＋A2＋……＋An＝1)。 </w:t>
      </w:r>
    </w:p>
    <w:p>
      <w:pPr>
        <w:spacing w:line="440" w:lineRule="exact"/>
        <w:ind w:firstLine="64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评标过程中，不得去掉报价中的最高报价和最低报价。</w:t>
      </w:r>
    </w:p>
    <w:p>
      <w:pPr>
        <w:ind w:firstLine="640" w:firstLineChars="200"/>
        <w:rPr>
          <w:rFonts w:hint="eastAsia" w:ascii="仿宋_GB2312" w:hAnsi="仿宋" w:eastAsia="仿宋_GB2312"/>
          <w:b w:val="0"/>
          <w:bCs/>
          <w:color w:val="auto"/>
          <w:sz w:val="32"/>
          <w:szCs w:val="32"/>
          <w:highlight w:val="none"/>
        </w:rPr>
      </w:pPr>
      <w:r>
        <w:rPr>
          <w:rFonts w:hint="eastAsia" w:ascii="仿宋_GB2312" w:hAnsi="仿宋" w:eastAsia="仿宋_GB2312"/>
          <w:b w:val="0"/>
          <w:bCs/>
          <w:color w:val="auto"/>
          <w:sz w:val="32"/>
          <w:szCs w:val="32"/>
          <w:highlight w:val="none"/>
          <w:lang w:eastAsia="zh-CN"/>
        </w:rPr>
        <w:t>（二）</w:t>
      </w:r>
      <w:r>
        <w:rPr>
          <w:rFonts w:hint="eastAsia" w:ascii="仿宋_GB2312" w:hAnsi="仿宋" w:eastAsia="仿宋_GB2312"/>
          <w:b w:val="0"/>
          <w:bCs/>
          <w:color w:val="auto"/>
          <w:sz w:val="32"/>
          <w:szCs w:val="32"/>
          <w:highlight w:val="none"/>
        </w:rPr>
        <w:t>关于享受优惠政策的主体及价格扣除比例</w:t>
      </w:r>
    </w:p>
    <w:p>
      <w:pPr>
        <w:spacing w:line="440" w:lineRule="exact"/>
        <w:ind w:firstLine="64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lang w:val="en-US" w:eastAsia="zh-CN"/>
        </w:rPr>
        <w:t>本项目若为非专门面向中小企业的项目，用扣除后的价格参与评审，本项目的扣除比例为：小型企业、微型企业均扣除10%（相关证明文件详见投标文件格式要求）。</w:t>
      </w:r>
    </w:p>
    <w:p>
      <w:pPr>
        <w:spacing w:line="440" w:lineRule="exact"/>
        <w:ind w:firstLine="600" w:firstLineChars="200"/>
        <w:rPr>
          <w:rFonts w:hint="eastAsia" w:ascii="方正仿宋_GBK" w:hAnsi="方正仿宋_GBK" w:eastAsia="方正仿宋_GBK" w:cs="方正仿宋_GBK"/>
          <w:color w:val="auto"/>
          <w:sz w:val="30"/>
          <w:szCs w:val="30"/>
          <w:highlight w:val="none"/>
        </w:rPr>
      </w:pPr>
    </w:p>
    <w:tbl>
      <w:tblPr>
        <w:tblStyle w:val="1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651"/>
        <w:gridCol w:w="1546"/>
        <w:gridCol w:w="791"/>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tcBorders>
              <w:left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序号</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评分项</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1</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价格</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highlight w:val="none"/>
                <w:lang w:eastAsia="zh-CN"/>
              </w:rPr>
            </w:pPr>
            <w:r>
              <w:rPr>
                <w:rFonts w:hint="eastAsia" w:ascii="CESI仿宋-GB2312" w:hAnsi="CESI仿宋-GB2312" w:eastAsia="CESI仿宋-GB2312" w:cs="CESI仿宋-GB2312"/>
                <w:b/>
                <w:color w:val="auto"/>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2</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技术部分</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highlight w:val="none"/>
              </w:rPr>
            </w:pPr>
            <w:r>
              <w:rPr>
                <w:rFonts w:hint="eastAsia" w:ascii="CESI仿宋-GB2312" w:hAnsi="CESI仿宋-GB2312" w:eastAsia="CESI仿宋-GB2312" w:cs="CESI仿宋-GB2312"/>
                <w:b/>
                <w:color w:val="auto"/>
                <w:sz w:val="21"/>
                <w:szCs w:val="21"/>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22" w:type="dxa"/>
            <w:vMerge w:val="restart"/>
            <w:tcBorders>
              <w:top w:val="single" w:color="auto" w:sz="4" w:space="0"/>
              <w:left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行号</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内容</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权重</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1</w:t>
            </w:r>
          </w:p>
        </w:tc>
        <w:tc>
          <w:tcPr>
            <w:tcW w:w="154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Cs w:val="21"/>
                <w:highlight w:val="none"/>
              </w:rPr>
              <w:t>实施方案（工作措施、工作方法、工作手段、工作流程）</w:t>
            </w:r>
          </w:p>
        </w:tc>
        <w:tc>
          <w:tcPr>
            <w:tcW w:w="791" w:type="dxa"/>
            <w:tcBorders>
              <w:top w:val="single" w:color="auto" w:sz="4" w:space="0"/>
              <w:left w:val="single" w:color="auto" w:sz="4" w:space="0"/>
              <w:bottom w:val="single" w:color="auto" w:sz="4" w:space="0"/>
              <w:right w:val="single" w:color="auto" w:sz="4" w:space="0"/>
            </w:tcBorders>
            <w:noWrap w:val="0"/>
            <w:vAlign w:val="top"/>
          </w:tcPr>
          <w:p>
            <w:pPr>
              <w:ind w:firstLine="105" w:firstLineChars="50"/>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Cs w:val="21"/>
                <w:highlight w:val="none"/>
              </w:rPr>
              <w:t>15</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hint="eastAsia" w:ascii="CESI仿宋-GB2312" w:hAnsi="CESI仿宋-GB2312" w:eastAsia="CESI仿宋-GB2312" w:cs="CESI仿宋-GB2312"/>
                <w:b/>
                <w:bCs/>
                <w:color w:val="auto"/>
                <w:sz w:val="21"/>
                <w:szCs w:val="21"/>
                <w:highlight w:val="none"/>
              </w:rPr>
            </w:pPr>
            <w:r>
              <w:rPr>
                <w:rFonts w:hint="eastAsia" w:ascii="CESI仿宋-GB2312" w:hAnsi="CESI仿宋-GB2312" w:eastAsia="CESI仿宋-GB2312" w:cs="CESI仿宋-GB2312"/>
                <w:b/>
                <w:bCs/>
                <w:color w:val="auto"/>
                <w:sz w:val="21"/>
                <w:szCs w:val="21"/>
                <w:highlight w:val="none"/>
              </w:rPr>
              <w:t>1.评审内容：</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（1）项目需求分析；</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（2）项目实施思路；</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（3）项目实施方法。</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b/>
                <w:bCs/>
                <w:color w:val="auto"/>
                <w:sz w:val="21"/>
                <w:szCs w:val="21"/>
                <w:highlight w:val="none"/>
              </w:rPr>
              <w:t>2.评审标准：</w:t>
            </w:r>
            <w:r>
              <w:rPr>
                <w:rFonts w:hint="eastAsia" w:ascii="CESI仿宋-GB2312" w:hAnsi="CESI仿宋-GB2312" w:eastAsia="CESI仿宋-GB2312" w:cs="CESI仿宋-GB2312"/>
                <w:color w:val="auto"/>
                <w:sz w:val="21"/>
                <w:szCs w:val="21"/>
                <w:highlight w:val="none"/>
              </w:rPr>
              <w:t>基础评分与</w:t>
            </w:r>
            <w:r>
              <w:rPr>
                <w:rFonts w:hint="eastAsia" w:ascii="CESI仿宋-GB2312" w:hAnsi="CESI仿宋-GB2312" w:eastAsia="CESI仿宋-GB2312" w:cs="CESI仿宋-GB2312"/>
                <w:color w:val="auto"/>
                <w:sz w:val="21"/>
                <w:szCs w:val="21"/>
                <w:highlight w:val="none"/>
                <w:lang w:eastAsia="zh-CN"/>
              </w:rPr>
              <w:t>分档评分</w:t>
            </w:r>
            <w:r>
              <w:rPr>
                <w:rFonts w:hint="eastAsia" w:ascii="CESI仿宋-GB2312" w:hAnsi="CESI仿宋-GB2312" w:eastAsia="CESI仿宋-GB2312" w:cs="CESI仿宋-GB2312"/>
                <w:color w:val="auto"/>
                <w:sz w:val="21"/>
                <w:szCs w:val="21"/>
                <w:highlight w:val="none"/>
              </w:rPr>
              <w:t>累加总得分为该项的最终分值。</w:t>
            </w:r>
          </w:p>
          <w:p>
            <w:pPr>
              <w:pStyle w:val="20"/>
              <w:numPr>
                <w:ilvl w:val="0"/>
                <w:numId w:val="1"/>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基础评分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考察以上评审内容的（1）（2）（3）三点。以上三点内容均满足得</w:t>
            </w:r>
            <w:r>
              <w:rPr>
                <w:rFonts w:hint="eastAsia" w:ascii="CESI仿宋-GB2312" w:hAnsi="CESI仿宋-GB2312" w:eastAsia="CESI仿宋-GB2312" w:cs="CESI仿宋-GB2312"/>
                <w:color w:val="auto"/>
                <w:sz w:val="21"/>
                <w:szCs w:val="21"/>
                <w:highlight w:val="none"/>
                <w:lang w:val="en-US" w:eastAsia="zh-CN"/>
              </w:rPr>
              <w:t>10</w:t>
            </w:r>
            <w:r>
              <w:rPr>
                <w:rFonts w:hint="eastAsia" w:ascii="CESI仿宋-GB2312" w:hAnsi="CESI仿宋-GB2312" w:eastAsia="CESI仿宋-GB2312" w:cs="CESI仿宋-GB2312"/>
                <w:color w:val="auto"/>
                <w:sz w:val="21"/>
                <w:szCs w:val="21"/>
                <w:highlight w:val="none"/>
              </w:rPr>
              <w:t>分，满足任意两点得</w:t>
            </w:r>
            <w:r>
              <w:rPr>
                <w:rFonts w:hint="eastAsia" w:ascii="CESI仿宋-GB2312" w:hAnsi="CESI仿宋-GB2312" w:eastAsia="CESI仿宋-GB2312" w:cs="CESI仿宋-GB2312"/>
                <w:color w:val="auto"/>
                <w:sz w:val="21"/>
                <w:szCs w:val="21"/>
                <w:highlight w:val="none"/>
                <w:lang w:val="en-US" w:eastAsia="zh-CN"/>
              </w:rPr>
              <w:t>6</w:t>
            </w:r>
            <w:r>
              <w:rPr>
                <w:rFonts w:hint="eastAsia" w:ascii="CESI仿宋-GB2312" w:hAnsi="CESI仿宋-GB2312" w:eastAsia="CESI仿宋-GB2312" w:cs="CESI仿宋-GB2312"/>
                <w:color w:val="auto"/>
                <w:sz w:val="21"/>
                <w:szCs w:val="21"/>
                <w:highlight w:val="none"/>
              </w:rPr>
              <w:t>分，满足任意一点得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分，未满足不得分。</w:t>
            </w:r>
          </w:p>
          <w:p>
            <w:pPr>
              <w:pStyle w:val="20"/>
              <w:numPr>
                <w:ilvl w:val="0"/>
                <w:numId w:val="1"/>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分档评分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根据投标人项目实施方案具体响应内容进一步评审。</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优：以上实施方案的内容全面具体、针对性强、可操作性强，加</w:t>
            </w:r>
            <w:r>
              <w:rPr>
                <w:rFonts w:hint="eastAsia" w:ascii="CESI仿宋-GB2312" w:hAnsi="CESI仿宋-GB2312" w:eastAsia="CESI仿宋-GB2312" w:cs="CESI仿宋-GB2312"/>
                <w:color w:val="auto"/>
                <w:sz w:val="21"/>
                <w:szCs w:val="21"/>
                <w:highlight w:val="none"/>
                <w:lang w:val="en-US" w:eastAsia="zh-CN"/>
              </w:rPr>
              <w:t>5</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良：以上实施方案的内容较全面、针对性较强、可操作性较强，加3分；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中：以上实施方案的内容完整性、针对性、可操作性均一般，加1.5分；</w:t>
            </w:r>
          </w:p>
          <w:p>
            <w:pPr>
              <w:pStyle w:val="5"/>
              <w:ind w:firstLine="0" w:firstLineChars="0"/>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差：实施方案内容不科学、不完整、针对性较弱，加0分；如果评审为差，请书面说明理由，并记录存档。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2</w:t>
            </w:r>
          </w:p>
        </w:tc>
        <w:tc>
          <w:tcPr>
            <w:tcW w:w="154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Cs w:val="21"/>
                <w:highlight w:val="none"/>
              </w:rPr>
              <w:t>项目重点难</w:t>
            </w:r>
            <w:r>
              <w:rPr>
                <w:rFonts w:hint="eastAsia" w:ascii="CESI仿宋-GB2312" w:hAnsi="CESI仿宋-GB2312" w:eastAsia="CESI仿宋-GB2312" w:cs="CESI仿宋-GB2312"/>
                <w:color w:val="auto"/>
                <w:szCs w:val="21"/>
                <w:highlight w:val="none"/>
              </w:rPr>
              <w:cr/>
            </w:r>
            <w:r>
              <w:rPr>
                <w:rFonts w:hint="eastAsia" w:ascii="CESI仿宋-GB2312" w:hAnsi="CESI仿宋-GB2312" w:eastAsia="CESI仿宋-GB2312" w:cs="CESI仿宋-GB2312"/>
                <w:color w:val="auto"/>
                <w:szCs w:val="21"/>
                <w:highlight w:val="none"/>
              </w:rPr>
              <w:t>分析、应对措施及相关的合理化建议</w:t>
            </w:r>
          </w:p>
        </w:tc>
        <w:tc>
          <w:tcPr>
            <w:tcW w:w="79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1"/>
                <w:szCs w:val="21"/>
                <w:highlight w:val="yellow"/>
                <w:lang w:val="en-US" w:eastAsia="zh-CN"/>
              </w:rPr>
            </w:pPr>
            <w:r>
              <w:rPr>
                <w:rFonts w:hint="eastAsia" w:ascii="CESI仿宋-GB2312" w:hAnsi="CESI仿宋-GB2312" w:eastAsia="CESI仿宋-GB2312" w:cs="CESI仿宋-GB2312"/>
                <w:color w:val="auto"/>
                <w:szCs w:val="21"/>
                <w:highlight w:val="none"/>
                <w:lang w:val="en-US" w:eastAsia="zh-CN"/>
              </w:rPr>
              <w:t>12</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b/>
                <w:bCs/>
                <w:color w:val="auto"/>
                <w:sz w:val="21"/>
                <w:szCs w:val="21"/>
                <w:highlight w:val="none"/>
              </w:rPr>
              <w:t>1.评审内容：</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 xml:space="preserve">（1）项目重点、难点的分析； </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（2）项目重点、难点的应对措施；</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（3）项目实施提出的相关合理化建议。</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b/>
                <w:bCs/>
                <w:color w:val="auto"/>
                <w:sz w:val="21"/>
                <w:szCs w:val="21"/>
                <w:highlight w:val="none"/>
              </w:rPr>
              <w:t>2.评审标准：</w:t>
            </w:r>
            <w:r>
              <w:rPr>
                <w:rFonts w:hint="eastAsia" w:ascii="CESI仿宋-GB2312" w:hAnsi="CESI仿宋-GB2312" w:eastAsia="CESI仿宋-GB2312" w:cs="CESI仿宋-GB2312"/>
                <w:color w:val="auto"/>
                <w:sz w:val="21"/>
                <w:szCs w:val="21"/>
                <w:highlight w:val="none"/>
              </w:rPr>
              <w:t>基础评分与</w:t>
            </w:r>
            <w:r>
              <w:rPr>
                <w:rFonts w:hint="eastAsia" w:ascii="CESI仿宋-GB2312" w:hAnsi="CESI仿宋-GB2312" w:eastAsia="CESI仿宋-GB2312" w:cs="CESI仿宋-GB2312"/>
                <w:color w:val="auto"/>
                <w:sz w:val="21"/>
                <w:szCs w:val="21"/>
                <w:highlight w:val="none"/>
                <w:lang w:eastAsia="zh-CN"/>
              </w:rPr>
              <w:t>分档评分</w:t>
            </w:r>
            <w:r>
              <w:rPr>
                <w:rFonts w:hint="eastAsia" w:ascii="CESI仿宋-GB2312" w:hAnsi="CESI仿宋-GB2312" w:eastAsia="CESI仿宋-GB2312" w:cs="CESI仿宋-GB2312"/>
                <w:color w:val="auto"/>
                <w:sz w:val="21"/>
                <w:szCs w:val="21"/>
                <w:highlight w:val="none"/>
              </w:rPr>
              <w:t>累加总得分为该项的最终分值。</w:t>
            </w:r>
          </w:p>
          <w:p>
            <w:pPr>
              <w:pStyle w:val="20"/>
              <w:numPr>
                <w:ilvl w:val="0"/>
                <w:numId w:val="1"/>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基础评分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考察以上评审内容的（1）（2）（3）三点。以上三点内容均满足得</w:t>
            </w:r>
            <w:r>
              <w:rPr>
                <w:rFonts w:hint="eastAsia" w:ascii="CESI仿宋-GB2312" w:hAnsi="CESI仿宋-GB2312" w:eastAsia="CESI仿宋-GB2312" w:cs="CESI仿宋-GB2312"/>
                <w:color w:val="auto"/>
                <w:sz w:val="21"/>
                <w:szCs w:val="21"/>
                <w:highlight w:val="none"/>
                <w:lang w:val="en-US" w:eastAsia="zh-CN"/>
              </w:rPr>
              <w:t>8</w:t>
            </w:r>
            <w:r>
              <w:rPr>
                <w:rFonts w:hint="eastAsia" w:ascii="CESI仿宋-GB2312" w:hAnsi="CESI仿宋-GB2312" w:eastAsia="CESI仿宋-GB2312" w:cs="CESI仿宋-GB2312"/>
                <w:color w:val="auto"/>
                <w:sz w:val="21"/>
                <w:szCs w:val="21"/>
                <w:highlight w:val="none"/>
              </w:rPr>
              <w:t>分，满足任意两点得</w:t>
            </w:r>
            <w:r>
              <w:rPr>
                <w:rFonts w:hint="eastAsia" w:ascii="CESI仿宋-GB2312" w:hAnsi="CESI仿宋-GB2312" w:eastAsia="CESI仿宋-GB2312" w:cs="CESI仿宋-GB2312"/>
                <w:color w:val="auto"/>
                <w:sz w:val="21"/>
                <w:szCs w:val="21"/>
                <w:highlight w:val="none"/>
                <w:lang w:val="en-US" w:eastAsia="zh-CN"/>
              </w:rPr>
              <w:t>5</w:t>
            </w:r>
            <w:r>
              <w:rPr>
                <w:rFonts w:hint="eastAsia" w:ascii="CESI仿宋-GB2312" w:hAnsi="CESI仿宋-GB2312" w:eastAsia="CESI仿宋-GB2312" w:cs="CESI仿宋-GB2312"/>
                <w:color w:val="auto"/>
                <w:sz w:val="21"/>
                <w:szCs w:val="21"/>
                <w:highlight w:val="none"/>
              </w:rPr>
              <w:t>分，满足任意一点得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分，未满足不得分。</w:t>
            </w:r>
          </w:p>
          <w:p>
            <w:pPr>
              <w:pStyle w:val="20"/>
              <w:numPr>
                <w:ilvl w:val="0"/>
                <w:numId w:val="1"/>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分档评分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根据投标人项目重点难点分析、应对措施及相关的合理化建议具体响应内容进一步评审。</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优：以上项目重点难点分析、应对措施及相关的合理化建议的内容全面具体、针对性强、可操作性强，加</w:t>
            </w:r>
            <w:r>
              <w:rPr>
                <w:rFonts w:hint="eastAsia" w:ascii="CESI仿宋-GB2312" w:hAnsi="CESI仿宋-GB2312" w:eastAsia="CESI仿宋-GB2312" w:cs="CESI仿宋-GB2312"/>
                <w:color w:val="auto"/>
                <w:sz w:val="21"/>
                <w:szCs w:val="21"/>
                <w:highlight w:val="none"/>
                <w:lang w:val="en-US" w:eastAsia="zh-CN"/>
              </w:rPr>
              <w:t>4</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良：以上项目重点难点分析、应对措施及相关的合理化建议的内容较全面、针对性较强、可操作性较强，加</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中：以上项目重点难点分析、应对措施及相关的合理化建议的内容完整性、针对性、可操作性均一般，加</w:t>
            </w:r>
            <w:r>
              <w:rPr>
                <w:rFonts w:hint="eastAsia" w:ascii="CESI仿宋-GB2312" w:hAnsi="CESI仿宋-GB2312" w:eastAsia="CESI仿宋-GB2312" w:cs="CESI仿宋-GB2312"/>
                <w:color w:val="auto"/>
                <w:sz w:val="21"/>
                <w:szCs w:val="21"/>
                <w:highlight w:val="none"/>
                <w:lang w:val="en-US" w:eastAsia="zh-CN"/>
              </w:rPr>
              <w:t>1</w:t>
            </w:r>
            <w:r>
              <w:rPr>
                <w:rFonts w:hint="eastAsia" w:ascii="CESI仿宋-GB2312" w:hAnsi="CESI仿宋-GB2312" w:eastAsia="CESI仿宋-GB2312" w:cs="CESI仿宋-GB2312"/>
                <w:color w:val="auto"/>
                <w:sz w:val="21"/>
                <w:szCs w:val="21"/>
                <w:highlight w:val="none"/>
              </w:rPr>
              <w:t>分；</w:t>
            </w:r>
          </w:p>
          <w:p>
            <w:pPr>
              <w:pStyle w:val="5"/>
              <w:ind w:firstLine="0" w:firstLineChars="0"/>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差：项目重点难点分析、应对措施及相关的合理化建议内容不科学、不完整、针对性较弱，加0分；如果评审为差，请书面说明理由，并记录存档。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3</w:t>
            </w:r>
          </w:p>
        </w:tc>
        <w:tc>
          <w:tcPr>
            <w:tcW w:w="154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Cs w:val="21"/>
                <w:highlight w:val="none"/>
              </w:rPr>
              <w:t>质量（完成时间、安全、环保）保障措施及方案</w:t>
            </w:r>
          </w:p>
        </w:tc>
        <w:tc>
          <w:tcPr>
            <w:tcW w:w="79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1"/>
                <w:szCs w:val="21"/>
                <w:highlight w:val="yellow"/>
                <w:lang w:val="en-US" w:eastAsia="zh-CN"/>
              </w:rPr>
            </w:pPr>
            <w:r>
              <w:rPr>
                <w:rFonts w:hint="eastAsia" w:ascii="CESI仿宋-GB2312" w:hAnsi="CESI仿宋-GB2312" w:eastAsia="CESI仿宋-GB2312" w:cs="CESI仿宋-GB2312"/>
                <w:color w:val="auto"/>
                <w:szCs w:val="21"/>
                <w:highlight w:val="none"/>
                <w:lang w:val="en-US" w:eastAsia="zh-CN"/>
              </w:rPr>
              <w:t>12</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hint="eastAsia" w:ascii="CESI仿宋-GB2312" w:hAnsi="CESI仿宋-GB2312" w:eastAsia="CESI仿宋-GB2312" w:cs="CESI仿宋-GB2312"/>
                <w:b/>
                <w:bCs/>
                <w:color w:val="auto"/>
                <w:sz w:val="21"/>
                <w:szCs w:val="21"/>
                <w:highlight w:val="none"/>
              </w:rPr>
            </w:pPr>
            <w:r>
              <w:rPr>
                <w:rFonts w:hint="eastAsia" w:ascii="CESI仿宋-GB2312" w:hAnsi="CESI仿宋-GB2312" w:eastAsia="CESI仿宋-GB2312" w:cs="CESI仿宋-GB2312"/>
                <w:b/>
                <w:bCs/>
                <w:color w:val="auto"/>
                <w:sz w:val="21"/>
                <w:szCs w:val="21"/>
                <w:highlight w:val="none"/>
              </w:rPr>
              <w:t>1.评审内容：</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（1）项目进度控制措施及方案；</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（2）项目质量保证措施及方案；</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（3）项目保密措施及方案。</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b/>
                <w:bCs/>
                <w:color w:val="auto"/>
                <w:sz w:val="21"/>
                <w:szCs w:val="21"/>
                <w:highlight w:val="none"/>
              </w:rPr>
              <w:t>2.评审标准：</w:t>
            </w:r>
            <w:r>
              <w:rPr>
                <w:rFonts w:hint="eastAsia" w:ascii="CESI仿宋-GB2312" w:hAnsi="CESI仿宋-GB2312" w:eastAsia="CESI仿宋-GB2312" w:cs="CESI仿宋-GB2312"/>
                <w:color w:val="auto"/>
                <w:sz w:val="21"/>
                <w:szCs w:val="21"/>
                <w:highlight w:val="none"/>
              </w:rPr>
              <w:t>基础评分与</w:t>
            </w:r>
            <w:r>
              <w:rPr>
                <w:rFonts w:hint="eastAsia" w:ascii="CESI仿宋-GB2312" w:hAnsi="CESI仿宋-GB2312" w:eastAsia="CESI仿宋-GB2312" w:cs="CESI仿宋-GB2312"/>
                <w:color w:val="auto"/>
                <w:sz w:val="21"/>
                <w:szCs w:val="21"/>
                <w:highlight w:val="none"/>
                <w:lang w:eastAsia="zh-CN"/>
              </w:rPr>
              <w:t>分档评分</w:t>
            </w:r>
            <w:r>
              <w:rPr>
                <w:rFonts w:hint="eastAsia" w:ascii="CESI仿宋-GB2312" w:hAnsi="CESI仿宋-GB2312" w:eastAsia="CESI仿宋-GB2312" w:cs="CESI仿宋-GB2312"/>
                <w:color w:val="auto"/>
                <w:sz w:val="21"/>
                <w:szCs w:val="21"/>
                <w:highlight w:val="none"/>
              </w:rPr>
              <w:t>累加总得分为该项的最终分值。</w:t>
            </w:r>
          </w:p>
          <w:p>
            <w:pPr>
              <w:pStyle w:val="20"/>
              <w:numPr>
                <w:ilvl w:val="0"/>
                <w:numId w:val="1"/>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基础评分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考察以上评审内容的（1）（2）（3）三点。以上三点内容均满足得</w:t>
            </w:r>
            <w:r>
              <w:rPr>
                <w:rFonts w:hint="eastAsia" w:ascii="CESI仿宋-GB2312" w:hAnsi="CESI仿宋-GB2312" w:eastAsia="CESI仿宋-GB2312" w:cs="CESI仿宋-GB2312"/>
                <w:color w:val="auto"/>
                <w:sz w:val="21"/>
                <w:szCs w:val="21"/>
                <w:highlight w:val="none"/>
                <w:lang w:val="en-US" w:eastAsia="zh-CN"/>
              </w:rPr>
              <w:t>8</w:t>
            </w:r>
            <w:r>
              <w:rPr>
                <w:rFonts w:hint="eastAsia" w:ascii="CESI仿宋-GB2312" w:hAnsi="CESI仿宋-GB2312" w:eastAsia="CESI仿宋-GB2312" w:cs="CESI仿宋-GB2312"/>
                <w:color w:val="auto"/>
                <w:sz w:val="21"/>
                <w:szCs w:val="21"/>
                <w:highlight w:val="none"/>
              </w:rPr>
              <w:t>分，满足任意两点得</w:t>
            </w:r>
            <w:r>
              <w:rPr>
                <w:rFonts w:hint="eastAsia" w:ascii="CESI仿宋-GB2312" w:hAnsi="CESI仿宋-GB2312" w:eastAsia="CESI仿宋-GB2312" w:cs="CESI仿宋-GB2312"/>
                <w:color w:val="auto"/>
                <w:sz w:val="21"/>
                <w:szCs w:val="21"/>
                <w:highlight w:val="none"/>
                <w:lang w:val="en-US" w:eastAsia="zh-CN"/>
              </w:rPr>
              <w:t>5</w:t>
            </w:r>
            <w:r>
              <w:rPr>
                <w:rFonts w:hint="eastAsia" w:ascii="CESI仿宋-GB2312" w:hAnsi="CESI仿宋-GB2312" w:eastAsia="CESI仿宋-GB2312" w:cs="CESI仿宋-GB2312"/>
                <w:color w:val="auto"/>
                <w:sz w:val="21"/>
                <w:szCs w:val="21"/>
                <w:highlight w:val="none"/>
              </w:rPr>
              <w:t>分，满足任意一点得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分，未满足不得分。</w:t>
            </w:r>
          </w:p>
          <w:p>
            <w:pPr>
              <w:pStyle w:val="20"/>
              <w:numPr>
                <w:ilvl w:val="0"/>
                <w:numId w:val="1"/>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分档评分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根据投标人质量保障措施具体响应内容进一步评审。</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优：以上质量保障措施的内容全面具体、针对性强、可操作性强，加</w:t>
            </w:r>
            <w:r>
              <w:rPr>
                <w:rFonts w:hint="eastAsia" w:ascii="CESI仿宋-GB2312" w:hAnsi="CESI仿宋-GB2312" w:eastAsia="CESI仿宋-GB2312" w:cs="CESI仿宋-GB2312"/>
                <w:color w:val="auto"/>
                <w:sz w:val="21"/>
                <w:szCs w:val="21"/>
                <w:highlight w:val="none"/>
                <w:lang w:val="en-US" w:eastAsia="zh-CN"/>
              </w:rPr>
              <w:t>4</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良：以上质量保障措施的内容较全面、针对性较强、可操作性较强，加</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中：以上质量保障措施的内容完整性一般、针对性和可操作性一般，加1分；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差：以上质量保障措施的内容不全面不具体、不具有针对性和可操作性，加0分；如果评审为差，请书面说明理由，并记录存档。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4</w:t>
            </w:r>
          </w:p>
        </w:tc>
        <w:tc>
          <w:tcPr>
            <w:tcW w:w="154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Cs w:val="21"/>
                <w:highlight w:val="none"/>
              </w:rPr>
              <w:t>项目完成（服务期满）后的服务承诺</w:t>
            </w:r>
          </w:p>
        </w:tc>
        <w:tc>
          <w:tcPr>
            <w:tcW w:w="79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1"/>
                <w:szCs w:val="21"/>
                <w:highlight w:val="yellow"/>
              </w:rPr>
            </w:pPr>
            <w:r>
              <w:rPr>
                <w:rFonts w:hint="eastAsia" w:ascii="CESI仿宋-GB2312" w:hAnsi="CESI仿宋-GB2312" w:eastAsia="CESI仿宋-GB2312" w:cs="CESI仿宋-GB2312"/>
                <w:color w:val="auto"/>
                <w:szCs w:val="21"/>
                <w:highlight w:val="none"/>
                <w:lang w:val="en-US" w:eastAsia="zh-CN"/>
              </w:rPr>
              <w:t>3</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hint="eastAsia" w:ascii="CESI仿宋-GB2312" w:hAnsi="CESI仿宋-GB2312" w:eastAsia="CESI仿宋-GB2312" w:cs="CESI仿宋-GB2312"/>
                <w:b/>
                <w:bCs/>
                <w:color w:val="auto"/>
                <w:sz w:val="21"/>
                <w:szCs w:val="21"/>
                <w:highlight w:val="none"/>
              </w:rPr>
            </w:pPr>
            <w:r>
              <w:rPr>
                <w:rFonts w:hint="eastAsia" w:ascii="CESI仿宋-GB2312" w:hAnsi="CESI仿宋-GB2312" w:eastAsia="CESI仿宋-GB2312" w:cs="CESI仿宋-GB2312"/>
                <w:b/>
                <w:bCs/>
                <w:color w:val="auto"/>
                <w:sz w:val="21"/>
                <w:szCs w:val="21"/>
                <w:highlight w:val="none"/>
              </w:rPr>
              <w:t>1.评审内容：</w:t>
            </w:r>
          </w:p>
          <w:p>
            <w:pP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（1）承诺与采购方保持密切沟通；</w:t>
            </w:r>
          </w:p>
          <w:p>
            <w:pP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（2）随时跟进项目后续的服务需求；</w:t>
            </w:r>
          </w:p>
          <w:p>
            <w:pPr>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lang w:eastAsia="zh-CN"/>
              </w:rPr>
              <w:t>（</w:t>
            </w:r>
            <w:r>
              <w:rPr>
                <w:rFonts w:hint="eastAsia" w:ascii="CESI仿宋-GB2312" w:hAnsi="CESI仿宋-GB2312" w:eastAsia="CESI仿宋-GB2312" w:cs="CESI仿宋-GB2312"/>
                <w:color w:val="auto"/>
                <w:szCs w:val="21"/>
                <w:highlight w:val="none"/>
                <w:lang w:val="en-US" w:eastAsia="zh-CN"/>
              </w:rPr>
              <w:t>3</w:t>
            </w:r>
            <w:r>
              <w:rPr>
                <w:rFonts w:hint="eastAsia" w:ascii="CESI仿宋-GB2312" w:hAnsi="CESI仿宋-GB2312" w:eastAsia="CESI仿宋-GB2312" w:cs="CESI仿宋-GB2312"/>
                <w:color w:val="auto"/>
                <w:szCs w:val="21"/>
                <w:highlight w:val="none"/>
                <w:lang w:eastAsia="zh-CN"/>
              </w:rPr>
              <w:t>）</w:t>
            </w:r>
            <w:r>
              <w:rPr>
                <w:rFonts w:hint="eastAsia" w:ascii="CESI仿宋-GB2312" w:hAnsi="CESI仿宋-GB2312" w:eastAsia="CESI仿宋-GB2312" w:cs="CESI仿宋-GB2312"/>
                <w:color w:val="auto"/>
                <w:szCs w:val="21"/>
                <w:highlight w:val="none"/>
              </w:rPr>
              <w:t>售后服务措施及方案。</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b/>
                <w:bCs/>
                <w:color w:val="auto"/>
                <w:sz w:val="21"/>
                <w:szCs w:val="21"/>
                <w:highlight w:val="none"/>
              </w:rPr>
              <w:t>2.评审标准：</w:t>
            </w:r>
            <w:r>
              <w:rPr>
                <w:rFonts w:hint="eastAsia" w:ascii="CESI仿宋-GB2312" w:hAnsi="CESI仿宋-GB2312" w:eastAsia="CESI仿宋-GB2312" w:cs="CESI仿宋-GB2312"/>
                <w:color w:val="auto"/>
                <w:sz w:val="21"/>
                <w:szCs w:val="21"/>
                <w:highlight w:val="none"/>
              </w:rPr>
              <w:t>基础评分与</w:t>
            </w:r>
            <w:r>
              <w:rPr>
                <w:rFonts w:hint="eastAsia" w:ascii="CESI仿宋-GB2312" w:hAnsi="CESI仿宋-GB2312" w:eastAsia="CESI仿宋-GB2312" w:cs="CESI仿宋-GB2312"/>
                <w:color w:val="auto"/>
                <w:sz w:val="21"/>
                <w:szCs w:val="21"/>
                <w:highlight w:val="none"/>
                <w:lang w:eastAsia="zh-CN"/>
              </w:rPr>
              <w:t>分档评分</w:t>
            </w:r>
            <w:r>
              <w:rPr>
                <w:rFonts w:hint="eastAsia" w:ascii="CESI仿宋-GB2312" w:hAnsi="CESI仿宋-GB2312" w:eastAsia="CESI仿宋-GB2312" w:cs="CESI仿宋-GB2312"/>
                <w:color w:val="auto"/>
                <w:sz w:val="21"/>
                <w:szCs w:val="21"/>
                <w:highlight w:val="none"/>
              </w:rPr>
              <w:t>累加总得分为该项的最终分值。</w:t>
            </w:r>
          </w:p>
          <w:p>
            <w:pPr>
              <w:pStyle w:val="20"/>
              <w:numPr>
                <w:ilvl w:val="0"/>
                <w:numId w:val="1"/>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基础评分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考察以上评审内容的（1）（2）（3）</w:t>
            </w:r>
            <w:r>
              <w:rPr>
                <w:rFonts w:hint="eastAsia" w:ascii="CESI仿宋-GB2312" w:hAnsi="CESI仿宋-GB2312" w:eastAsia="CESI仿宋-GB2312" w:cs="CESI仿宋-GB2312"/>
                <w:color w:val="auto"/>
                <w:sz w:val="21"/>
                <w:szCs w:val="21"/>
                <w:highlight w:val="none"/>
                <w:lang w:val="en-US" w:eastAsia="zh-CN"/>
              </w:rPr>
              <w:t>三</w:t>
            </w:r>
            <w:r>
              <w:rPr>
                <w:rFonts w:hint="eastAsia" w:ascii="CESI仿宋-GB2312" w:hAnsi="CESI仿宋-GB2312" w:eastAsia="CESI仿宋-GB2312" w:cs="CESI仿宋-GB2312"/>
                <w:color w:val="auto"/>
                <w:sz w:val="21"/>
                <w:szCs w:val="21"/>
                <w:highlight w:val="none"/>
              </w:rPr>
              <w:t>点。以</w:t>
            </w:r>
            <w:r>
              <w:rPr>
                <w:rFonts w:hint="eastAsia" w:ascii="CESI仿宋-GB2312" w:hAnsi="CESI仿宋-GB2312" w:eastAsia="CESI仿宋-GB2312" w:cs="CESI仿宋-GB2312"/>
                <w:color w:val="auto"/>
                <w:sz w:val="21"/>
                <w:szCs w:val="21"/>
                <w:highlight w:val="none"/>
                <w:lang w:eastAsia="zh-CN"/>
              </w:rPr>
              <w:t>上</w:t>
            </w:r>
            <w:r>
              <w:rPr>
                <w:rFonts w:hint="eastAsia" w:ascii="CESI仿宋-GB2312" w:hAnsi="CESI仿宋-GB2312" w:eastAsia="CESI仿宋-GB2312" w:cs="CESI仿宋-GB2312"/>
                <w:color w:val="auto"/>
                <w:sz w:val="21"/>
                <w:szCs w:val="21"/>
                <w:highlight w:val="none"/>
              </w:rPr>
              <w:t>满足</w:t>
            </w:r>
            <w:r>
              <w:rPr>
                <w:rFonts w:hint="eastAsia" w:ascii="CESI仿宋-GB2312" w:hAnsi="CESI仿宋-GB2312" w:eastAsia="CESI仿宋-GB2312" w:cs="CESI仿宋-GB2312"/>
                <w:color w:val="auto"/>
                <w:sz w:val="21"/>
                <w:szCs w:val="21"/>
                <w:highlight w:val="none"/>
                <w:lang w:eastAsia="zh-CN"/>
              </w:rPr>
              <w:t>三</w:t>
            </w:r>
            <w:r>
              <w:rPr>
                <w:rFonts w:hint="eastAsia" w:ascii="CESI仿宋-GB2312" w:hAnsi="CESI仿宋-GB2312" w:eastAsia="CESI仿宋-GB2312" w:cs="CESI仿宋-GB2312"/>
                <w:color w:val="auto"/>
                <w:sz w:val="21"/>
                <w:szCs w:val="21"/>
                <w:highlight w:val="none"/>
              </w:rPr>
              <w:t>点得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分，满足任意</w:t>
            </w:r>
            <w:r>
              <w:rPr>
                <w:rFonts w:hint="eastAsia" w:ascii="CESI仿宋-GB2312" w:hAnsi="CESI仿宋-GB2312" w:eastAsia="CESI仿宋-GB2312" w:cs="CESI仿宋-GB2312"/>
                <w:color w:val="auto"/>
                <w:sz w:val="21"/>
                <w:szCs w:val="21"/>
                <w:highlight w:val="none"/>
                <w:lang w:eastAsia="zh-CN"/>
              </w:rPr>
              <w:t>两</w:t>
            </w:r>
            <w:r>
              <w:rPr>
                <w:rFonts w:hint="eastAsia" w:ascii="CESI仿宋-GB2312" w:hAnsi="CESI仿宋-GB2312" w:eastAsia="CESI仿宋-GB2312" w:cs="CESI仿宋-GB2312"/>
                <w:color w:val="auto"/>
                <w:sz w:val="21"/>
                <w:szCs w:val="21"/>
                <w:highlight w:val="none"/>
              </w:rPr>
              <w:t>点得</w:t>
            </w:r>
            <w:r>
              <w:rPr>
                <w:rFonts w:hint="eastAsia" w:ascii="CESI仿宋-GB2312" w:hAnsi="CESI仿宋-GB2312" w:eastAsia="CESI仿宋-GB2312" w:cs="CESI仿宋-GB2312"/>
                <w:color w:val="auto"/>
                <w:sz w:val="21"/>
                <w:szCs w:val="21"/>
                <w:highlight w:val="none"/>
                <w:lang w:val="en-US" w:eastAsia="zh-CN"/>
              </w:rPr>
              <w:t>1</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其他</w:t>
            </w:r>
            <w:r>
              <w:rPr>
                <w:rFonts w:hint="eastAsia" w:ascii="CESI仿宋-GB2312" w:hAnsi="CESI仿宋-GB2312" w:eastAsia="CESI仿宋-GB2312" w:cs="CESI仿宋-GB2312"/>
                <w:color w:val="auto"/>
                <w:sz w:val="21"/>
                <w:szCs w:val="21"/>
                <w:highlight w:val="none"/>
              </w:rPr>
              <w:t>不得分。</w:t>
            </w:r>
          </w:p>
          <w:p>
            <w:pPr>
              <w:pStyle w:val="20"/>
              <w:numPr>
                <w:ilvl w:val="0"/>
                <w:numId w:val="1"/>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分档评分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根据投标人项目完成（服务期满）后的服务承诺具体响应内容进一步评审。</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优：以上项目完成（服务期满）后的服务承诺的内容全面具体、针对性强、可操作性强，加</w:t>
            </w:r>
            <w:r>
              <w:rPr>
                <w:rFonts w:hint="eastAsia" w:ascii="CESI仿宋-GB2312" w:hAnsi="CESI仿宋-GB2312" w:eastAsia="CESI仿宋-GB2312" w:cs="CESI仿宋-GB2312"/>
                <w:color w:val="auto"/>
                <w:sz w:val="21"/>
                <w:szCs w:val="21"/>
                <w:highlight w:val="none"/>
                <w:lang w:val="en-US" w:eastAsia="zh-CN"/>
              </w:rPr>
              <w:t>1</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良：以上项目完成（服务期满）后的服务承诺的内容较全面、针对性较强、可操作性较强，加</w:t>
            </w:r>
            <w:r>
              <w:rPr>
                <w:rFonts w:hint="eastAsia" w:ascii="CESI仿宋-GB2312" w:hAnsi="CESI仿宋-GB2312" w:eastAsia="CESI仿宋-GB2312" w:cs="CESI仿宋-GB2312"/>
                <w:color w:val="auto"/>
                <w:sz w:val="21"/>
                <w:szCs w:val="21"/>
                <w:highlight w:val="none"/>
                <w:lang w:val="en-US" w:eastAsia="zh-CN"/>
              </w:rPr>
              <w:t>0.75</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中：以上项目完成（服务期满）后的服务承诺的内容完整性一般、针对性和可操作性一般，加</w:t>
            </w:r>
            <w:r>
              <w:rPr>
                <w:rFonts w:hint="eastAsia" w:ascii="CESI仿宋-GB2312" w:hAnsi="CESI仿宋-GB2312" w:eastAsia="CESI仿宋-GB2312" w:cs="CESI仿宋-GB2312"/>
                <w:color w:val="auto"/>
                <w:sz w:val="21"/>
                <w:szCs w:val="21"/>
                <w:highlight w:val="none"/>
                <w:lang w:val="en-US" w:eastAsia="zh-CN"/>
              </w:rPr>
              <w:t>0.5</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差：以上项目完成（服务期满）后的服务承诺的内容不全面不具体、不具有针对性和可操作性，加0分；如果评审为差，请书面说明理由，并记录存档。</w:t>
            </w:r>
          </w:p>
          <w:p>
            <w:pPr>
              <w:pStyle w:val="20"/>
              <w:jc w:val="both"/>
              <w:rPr>
                <w:rFonts w:hint="eastAsia" w:ascii="CESI仿宋-GB2312" w:hAnsi="CESI仿宋-GB2312" w:eastAsia="CESI仿宋-GB2312" w:cs="CESI仿宋-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5</w:t>
            </w:r>
          </w:p>
        </w:tc>
        <w:tc>
          <w:tcPr>
            <w:tcW w:w="154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Cs w:val="21"/>
                <w:highlight w:val="none"/>
              </w:rPr>
              <w:t>违约承诺</w:t>
            </w:r>
          </w:p>
        </w:tc>
        <w:tc>
          <w:tcPr>
            <w:tcW w:w="79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Cs w:val="21"/>
                <w:highlight w:val="none"/>
                <w:lang w:val="en-US" w:eastAsia="zh-CN"/>
              </w:rPr>
              <w:t>3</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hint="eastAsia" w:ascii="CESI仿宋-GB2312" w:hAnsi="CESI仿宋-GB2312" w:eastAsia="CESI仿宋-GB2312" w:cs="CESI仿宋-GB2312"/>
                <w:b/>
                <w:bCs/>
                <w:color w:val="auto"/>
                <w:sz w:val="21"/>
                <w:szCs w:val="21"/>
                <w:highlight w:val="none"/>
              </w:rPr>
            </w:pPr>
            <w:r>
              <w:rPr>
                <w:rFonts w:hint="eastAsia" w:ascii="CESI仿宋-GB2312" w:hAnsi="CESI仿宋-GB2312" w:eastAsia="CESI仿宋-GB2312" w:cs="CESI仿宋-GB2312"/>
                <w:b/>
                <w:bCs/>
                <w:color w:val="auto"/>
                <w:sz w:val="21"/>
                <w:szCs w:val="21"/>
                <w:highlight w:val="none"/>
              </w:rPr>
              <w:t>1.评审内容：</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（1）项目逾期与解约承诺；</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（2）保密条款承诺；</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（3）对未能达到的招标文件要求或投标承诺而愿承担责任。</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b/>
                <w:bCs/>
                <w:color w:val="auto"/>
                <w:sz w:val="21"/>
                <w:szCs w:val="21"/>
                <w:highlight w:val="none"/>
              </w:rPr>
              <w:t>2.评审标准：</w:t>
            </w:r>
            <w:r>
              <w:rPr>
                <w:rFonts w:hint="eastAsia" w:ascii="CESI仿宋-GB2312" w:hAnsi="CESI仿宋-GB2312" w:eastAsia="CESI仿宋-GB2312" w:cs="CESI仿宋-GB2312"/>
                <w:color w:val="auto"/>
                <w:sz w:val="21"/>
                <w:szCs w:val="21"/>
                <w:highlight w:val="none"/>
              </w:rPr>
              <w:t>基础评分与</w:t>
            </w:r>
            <w:r>
              <w:rPr>
                <w:rFonts w:hint="eastAsia" w:ascii="CESI仿宋-GB2312" w:hAnsi="CESI仿宋-GB2312" w:eastAsia="CESI仿宋-GB2312" w:cs="CESI仿宋-GB2312"/>
                <w:color w:val="auto"/>
                <w:sz w:val="21"/>
                <w:szCs w:val="21"/>
                <w:highlight w:val="none"/>
                <w:lang w:eastAsia="zh-CN"/>
              </w:rPr>
              <w:t>分档评分</w:t>
            </w:r>
            <w:r>
              <w:rPr>
                <w:rFonts w:hint="eastAsia" w:ascii="CESI仿宋-GB2312" w:hAnsi="CESI仿宋-GB2312" w:eastAsia="CESI仿宋-GB2312" w:cs="CESI仿宋-GB2312"/>
                <w:color w:val="auto"/>
                <w:sz w:val="21"/>
                <w:szCs w:val="21"/>
                <w:highlight w:val="none"/>
              </w:rPr>
              <w:t>累加总得分为该项的最终分值。</w:t>
            </w:r>
          </w:p>
          <w:p>
            <w:pPr>
              <w:pStyle w:val="20"/>
              <w:numPr>
                <w:ilvl w:val="0"/>
                <w:numId w:val="1"/>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基础评分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考察以上评审内容的（1）（2）（3）三点。以上三点内容均满足得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分，满足任意两点得</w:t>
            </w:r>
            <w:r>
              <w:rPr>
                <w:rFonts w:hint="eastAsia" w:ascii="CESI仿宋-GB2312" w:hAnsi="CESI仿宋-GB2312" w:eastAsia="CESI仿宋-GB2312" w:cs="CESI仿宋-GB2312"/>
                <w:color w:val="auto"/>
                <w:sz w:val="21"/>
                <w:szCs w:val="21"/>
                <w:highlight w:val="none"/>
                <w:lang w:val="en-US" w:eastAsia="zh-CN"/>
              </w:rPr>
              <w:t>1</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其余</w:t>
            </w:r>
            <w:r>
              <w:rPr>
                <w:rFonts w:hint="eastAsia" w:ascii="CESI仿宋-GB2312" w:hAnsi="CESI仿宋-GB2312" w:eastAsia="CESI仿宋-GB2312" w:cs="CESI仿宋-GB2312"/>
                <w:color w:val="auto"/>
                <w:sz w:val="21"/>
                <w:szCs w:val="21"/>
                <w:highlight w:val="none"/>
              </w:rPr>
              <w:t>不得分。</w:t>
            </w:r>
          </w:p>
          <w:p>
            <w:pPr>
              <w:pStyle w:val="20"/>
              <w:numPr>
                <w:ilvl w:val="0"/>
                <w:numId w:val="1"/>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eastAsia="zh-CN"/>
              </w:rPr>
              <w:t>分档评分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根据投标人违约承诺具体响应内容进一步评审。</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优：以上违约承诺的内容全面具体、针对性强、可操作性强，加</w:t>
            </w:r>
            <w:r>
              <w:rPr>
                <w:rFonts w:hint="eastAsia" w:ascii="CESI仿宋-GB2312" w:hAnsi="CESI仿宋-GB2312" w:eastAsia="CESI仿宋-GB2312" w:cs="CESI仿宋-GB2312"/>
                <w:color w:val="auto"/>
                <w:sz w:val="21"/>
                <w:szCs w:val="21"/>
                <w:highlight w:val="none"/>
                <w:lang w:val="en-US" w:eastAsia="zh-CN"/>
              </w:rPr>
              <w:t>1</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良：以上违约承诺的内容较全面、针对性较强、可操作性较强，加</w:t>
            </w:r>
            <w:r>
              <w:rPr>
                <w:rFonts w:hint="eastAsia" w:ascii="CESI仿宋-GB2312" w:hAnsi="CESI仿宋-GB2312" w:eastAsia="CESI仿宋-GB2312" w:cs="CESI仿宋-GB2312"/>
                <w:color w:val="auto"/>
                <w:sz w:val="21"/>
                <w:szCs w:val="21"/>
                <w:highlight w:val="none"/>
                <w:lang w:val="en-US" w:eastAsia="zh-CN"/>
              </w:rPr>
              <w:t>0.75</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中：违约承诺全面具体性一般、可操作性一般，加</w:t>
            </w:r>
            <w:r>
              <w:rPr>
                <w:rFonts w:hint="eastAsia" w:ascii="CESI仿宋-GB2312" w:hAnsi="CESI仿宋-GB2312" w:eastAsia="CESI仿宋-GB2312" w:cs="CESI仿宋-GB2312"/>
                <w:color w:val="auto"/>
                <w:sz w:val="21"/>
                <w:szCs w:val="21"/>
                <w:highlight w:val="none"/>
                <w:lang w:val="en-US" w:eastAsia="zh-CN"/>
              </w:rPr>
              <w:t>0.5</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差：违约承诺不全面不具体、不具有可操作性，加0分；如果评审为差，请书面说明理由，并记录存档。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3</w:t>
            </w:r>
          </w:p>
        </w:tc>
        <w:tc>
          <w:tcPr>
            <w:tcW w:w="298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综合实力部分</w:t>
            </w:r>
          </w:p>
        </w:tc>
        <w:tc>
          <w:tcPr>
            <w:tcW w:w="595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522" w:type="dxa"/>
            <w:vMerge w:val="restart"/>
            <w:tcBorders>
              <w:top w:val="single" w:color="auto" w:sz="4" w:space="0"/>
              <w:left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行号</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内容</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权重</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lang w:eastAsia="zh-CN"/>
              </w:rPr>
            </w:pPr>
            <w:r>
              <w:rPr>
                <w:rFonts w:hint="eastAsia" w:ascii="CESI仿宋-GB2312" w:hAnsi="CESI仿宋-GB2312" w:eastAsia="CESI仿宋-GB2312" w:cs="CESI仿宋-GB2312"/>
                <w:color w:val="auto"/>
                <w:sz w:val="21"/>
                <w:szCs w:val="21"/>
                <w:lang w:val="en-US" w:eastAsia="zh-CN"/>
              </w:rPr>
              <w:t>1</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投标人同类项目业绩情况</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val="en-US" w:eastAsia="zh-CN"/>
              </w:rPr>
              <w:t>6</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（一）评审内容</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1.近</w:t>
            </w:r>
            <w:r>
              <w:rPr>
                <w:rFonts w:hint="eastAsia" w:ascii="CESI仿宋-GB2312" w:hAnsi="CESI仿宋-GB2312" w:eastAsia="CESI仿宋-GB2312" w:cs="CESI仿宋-GB2312"/>
                <w:color w:val="auto"/>
                <w:sz w:val="21"/>
                <w:szCs w:val="21"/>
                <w:highlight w:val="none"/>
                <w:lang w:val="en-US" w:eastAsia="zh-CN"/>
              </w:rPr>
              <w:t>三</w:t>
            </w:r>
            <w:r>
              <w:rPr>
                <w:rFonts w:hint="eastAsia" w:ascii="CESI仿宋-GB2312" w:hAnsi="CESI仿宋-GB2312" w:eastAsia="CESI仿宋-GB2312" w:cs="CESI仿宋-GB2312"/>
                <w:color w:val="auto"/>
                <w:sz w:val="21"/>
                <w:szCs w:val="21"/>
                <w:highlight w:val="none"/>
              </w:rPr>
              <w:t>年（20</w:t>
            </w:r>
            <w:r>
              <w:rPr>
                <w:rFonts w:hint="eastAsia" w:ascii="CESI仿宋-GB2312" w:hAnsi="CESI仿宋-GB2312" w:eastAsia="CESI仿宋-GB2312" w:cs="CESI仿宋-GB2312"/>
                <w:color w:val="auto"/>
                <w:sz w:val="21"/>
                <w:szCs w:val="21"/>
                <w:highlight w:val="none"/>
                <w:lang w:val="en-US" w:eastAsia="zh-CN"/>
              </w:rPr>
              <w:t>22</w:t>
            </w:r>
            <w:r>
              <w:rPr>
                <w:rFonts w:hint="eastAsia" w:ascii="CESI仿宋-GB2312" w:hAnsi="CESI仿宋-GB2312" w:eastAsia="CESI仿宋-GB2312" w:cs="CESI仿宋-GB2312"/>
                <w:color w:val="auto"/>
                <w:sz w:val="21"/>
                <w:szCs w:val="21"/>
                <w:highlight w:val="none"/>
              </w:rPr>
              <w:t>年1月1日至本项目投标截止时间，以合同签订时间为准）为</w:t>
            </w:r>
            <w:r>
              <w:rPr>
                <w:rFonts w:hint="eastAsia" w:ascii="CESI仿宋-GB2312" w:hAnsi="CESI仿宋-GB2312" w:eastAsia="CESI仿宋-GB2312" w:cs="CESI仿宋-GB2312"/>
                <w:color w:val="auto"/>
                <w:sz w:val="21"/>
                <w:szCs w:val="21"/>
                <w:highlight w:val="none"/>
                <w:lang w:eastAsia="zh-CN"/>
              </w:rPr>
              <w:t>政府部门（含政府部门名下的事业单位）</w:t>
            </w:r>
            <w:r>
              <w:rPr>
                <w:rFonts w:hint="eastAsia" w:ascii="CESI仿宋-GB2312" w:hAnsi="CESI仿宋-GB2312" w:eastAsia="CESI仿宋-GB2312" w:cs="CESI仿宋-GB2312"/>
                <w:color w:val="auto"/>
                <w:sz w:val="21"/>
                <w:szCs w:val="21"/>
                <w:highlight w:val="none"/>
              </w:rPr>
              <w:t>提供常年法律顾问服务</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3</w:t>
            </w:r>
            <w:r>
              <w:rPr>
                <w:rFonts w:hint="eastAsia" w:ascii="CESI仿宋-GB2312" w:hAnsi="CESI仿宋-GB2312" w:eastAsia="CESI仿宋-GB2312" w:cs="CESI仿宋-GB2312"/>
                <w:color w:val="auto"/>
                <w:sz w:val="21"/>
                <w:szCs w:val="21"/>
                <w:highlight w:val="none"/>
              </w:rPr>
              <w:t>-5个得</w:t>
            </w:r>
            <w:r>
              <w:rPr>
                <w:rFonts w:hint="eastAsia" w:ascii="CESI仿宋-GB2312" w:hAnsi="CESI仿宋-GB2312" w:eastAsia="CESI仿宋-GB2312" w:cs="CESI仿宋-GB2312"/>
                <w:color w:val="auto"/>
                <w:sz w:val="21"/>
                <w:szCs w:val="21"/>
                <w:highlight w:val="none"/>
                <w:lang w:val="en-US" w:eastAsia="zh-CN"/>
              </w:rPr>
              <w:t>1.5</w:t>
            </w:r>
            <w:r>
              <w:rPr>
                <w:rFonts w:hint="eastAsia" w:ascii="CESI仿宋-GB2312" w:hAnsi="CESI仿宋-GB2312" w:eastAsia="CESI仿宋-GB2312" w:cs="CESI仿宋-GB2312"/>
                <w:color w:val="auto"/>
                <w:sz w:val="21"/>
                <w:szCs w:val="21"/>
                <w:highlight w:val="none"/>
              </w:rPr>
              <w:t>分，6个或以上的得</w:t>
            </w:r>
            <w:r>
              <w:rPr>
                <w:rFonts w:hint="eastAsia" w:ascii="CESI仿宋-GB2312" w:hAnsi="CESI仿宋-GB2312" w:eastAsia="CESI仿宋-GB2312" w:cs="CESI仿宋-GB2312"/>
                <w:color w:val="auto"/>
                <w:sz w:val="21"/>
                <w:szCs w:val="21"/>
                <w:highlight w:val="none"/>
                <w:lang w:val="en-US" w:eastAsia="zh-CN"/>
              </w:rPr>
              <w:t>3</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此小项最高得3</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2.近三年（</w:t>
            </w:r>
            <w:r>
              <w:rPr>
                <w:rFonts w:hint="eastAsia" w:ascii="CESI仿宋-GB2312" w:hAnsi="CESI仿宋-GB2312" w:eastAsia="CESI仿宋-GB2312" w:cs="CESI仿宋-GB2312"/>
                <w:color w:val="auto"/>
                <w:sz w:val="21"/>
                <w:szCs w:val="21"/>
                <w:highlight w:val="none"/>
                <w:lang w:val="en-US"/>
              </w:rPr>
              <w:t>2022</w:t>
            </w:r>
            <w:r>
              <w:rPr>
                <w:rFonts w:hint="eastAsia" w:ascii="CESI仿宋-GB2312" w:hAnsi="CESI仿宋-GB2312" w:eastAsia="CESI仿宋-GB2312" w:cs="CESI仿宋-GB2312"/>
                <w:color w:val="auto"/>
                <w:sz w:val="21"/>
                <w:szCs w:val="21"/>
                <w:highlight w:val="none"/>
              </w:rPr>
              <w:t>年1月1日至本项目投标截止时间）曾承担过</w:t>
            </w:r>
            <w:r>
              <w:rPr>
                <w:rFonts w:hint="eastAsia" w:ascii="CESI仿宋-GB2312" w:hAnsi="CESI仿宋-GB2312" w:eastAsia="CESI仿宋-GB2312" w:cs="CESI仿宋-GB2312"/>
                <w:color w:val="auto"/>
                <w:sz w:val="21"/>
                <w:szCs w:val="21"/>
                <w:highlight w:val="none"/>
                <w:lang w:val="en-US" w:eastAsia="zh-CN"/>
              </w:rPr>
              <w:t>政府部门或行政机关</w:t>
            </w:r>
            <w:r>
              <w:rPr>
                <w:rFonts w:hint="eastAsia" w:ascii="CESI仿宋-GB2312" w:hAnsi="CESI仿宋-GB2312" w:eastAsia="CESI仿宋-GB2312" w:cs="CESI仿宋-GB2312"/>
                <w:color w:val="auto"/>
                <w:sz w:val="21"/>
                <w:szCs w:val="21"/>
                <w:highlight w:val="none"/>
              </w:rPr>
              <w:t>课题研究类或立法类专项项目的，</w:t>
            </w:r>
            <w:r>
              <w:rPr>
                <w:rFonts w:hint="eastAsia" w:ascii="CESI仿宋-GB2312" w:hAnsi="CESI仿宋-GB2312" w:eastAsia="CESI仿宋-GB2312" w:cs="CESI仿宋-GB2312"/>
                <w:color w:val="auto"/>
                <w:sz w:val="21"/>
                <w:szCs w:val="21"/>
                <w:highlight w:val="none"/>
                <w:lang w:val="en-US" w:eastAsia="zh-CN"/>
              </w:rPr>
              <w:t>3</w:t>
            </w:r>
            <w:r>
              <w:rPr>
                <w:rFonts w:hint="eastAsia" w:ascii="CESI仿宋-GB2312" w:hAnsi="CESI仿宋-GB2312" w:eastAsia="CESI仿宋-GB2312" w:cs="CESI仿宋-GB2312"/>
                <w:color w:val="auto"/>
                <w:sz w:val="21"/>
                <w:szCs w:val="21"/>
                <w:highlight w:val="none"/>
              </w:rPr>
              <w:t>-5个得</w:t>
            </w:r>
            <w:r>
              <w:rPr>
                <w:rFonts w:hint="eastAsia" w:ascii="CESI仿宋-GB2312" w:hAnsi="CESI仿宋-GB2312" w:eastAsia="CESI仿宋-GB2312" w:cs="CESI仿宋-GB2312"/>
                <w:color w:val="auto"/>
                <w:sz w:val="21"/>
                <w:szCs w:val="21"/>
                <w:highlight w:val="none"/>
                <w:lang w:val="en-US" w:eastAsia="zh-CN"/>
              </w:rPr>
              <w:t>1.5</w:t>
            </w:r>
            <w:r>
              <w:rPr>
                <w:rFonts w:hint="eastAsia" w:ascii="CESI仿宋-GB2312" w:hAnsi="CESI仿宋-GB2312" w:eastAsia="CESI仿宋-GB2312" w:cs="CESI仿宋-GB2312"/>
                <w:color w:val="auto"/>
                <w:sz w:val="21"/>
                <w:szCs w:val="21"/>
                <w:highlight w:val="none"/>
              </w:rPr>
              <w:t>分，6个或以上的得</w:t>
            </w:r>
            <w:r>
              <w:rPr>
                <w:rFonts w:hint="eastAsia" w:ascii="CESI仿宋-GB2312" w:hAnsi="CESI仿宋-GB2312" w:eastAsia="CESI仿宋-GB2312" w:cs="CESI仿宋-GB2312"/>
                <w:color w:val="auto"/>
                <w:sz w:val="21"/>
                <w:szCs w:val="21"/>
                <w:highlight w:val="none"/>
                <w:lang w:val="en-US" w:eastAsia="zh-CN"/>
              </w:rPr>
              <w:t>3</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此小项最高得3</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（二）评分依据</w:t>
            </w:r>
          </w:p>
          <w:p>
            <w:pPr>
              <w:pStyle w:val="20"/>
              <w:jc w:val="both"/>
              <w:rPr>
                <w:rFonts w:hint="eastAsia" w:ascii="CESI仿宋-GB2312" w:hAnsi="CESI仿宋-GB2312" w:eastAsia="CESI仿宋-GB2312" w:cs="CESI仿宋-GB2312"/>
                <w:color w:val="auto"/>
                <w:sz w:val="21"/>
                <w:szCs w:val="21"/>
                <w:highlight w:val="none"/>
                <w:lang w:val="en-US"/>
              </w:rPr>
            </w:pPr>
            <w:r>
              <w:rPr>
                <w:rFonts w:hint="eastAsia" w:ascii="CESI仿宋-GB2312" w:hAnsi="CESI仿宋-GB2312" w:eastAsia="CESI仿宋-GB2312" w:cs="CESI仿宋-GB2312"/>
                <w:color w:val="auto"/>
                <w:sz w:val="21"/>
                <w:szCs w:val="21"/>
                <w:highlight w:val="none"/>
              </w:rPr>
              <w:t>1.要求提供合同关键信息（通过合同关键信息无法判断是否得分的，也可以提供能证明得分的其它证明资料，如项目报告或合同甲方出具的证明文件等；均要求提供扫描件，原件备查）作为得分依据。</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lang w:eastAsia="zh-CN"/>
              </w:rPr>
            </w:pPr>
            <w:r>
              <w:rPr>
                <w:rFonts w:hint="eastAsia" w:ascii="CESI仿宋-GB2312" w:hAnsi="CESI仿宋-GB2312" w:eastAsia="CESI仿宋-GB2312" w:cs="CESI仿宋-GB2312"/>
                <w:color w:val="auto"/>
                <w:sz w:val="21"/>
                <w:szCs w:val="21"/>
                <w:lang w:val="en-US" w:eastAsia="zh-CN"/>
              </w:rPr>
              <w:t>2</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拟安排的项目负责人情况</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val="en-US" w:eastAsia="zh-CN"/>
              </w:rPr>
              <w:t>8</w:t>
            </w:r>
          </w:p>
        </w:tc>
        <w:tc>
          <w:tcPr>
            <w:tcW w:w="595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（一）评审内容</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拟安排的项目负责人须为投标人自有员工（提供社保作为证明材料），否则本项不得分。在此基础上进行以下评分：</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1</w:t>
            </w:r>
            <w:r>
              <w:rPr>
                <w:rFonts w:hint="eastAsia" w:ascii="CESI仿宋-GB2312" w:hAnsi="CESI仿宋-GB2312" w:eastAsia="CESI仿宋-GB2312" w:cs="CESI仿宋-GB2312"/>
                <w:color w:val="auto"/>
                <w:sz w:val="21"/>
                <w:szCs w:val="21"/>
                <w:highlight w:val="none"/>
                <w:lang w:val="en-US" w:eastAsia="zh-CN"/>
              </w:rPr>
              <w:t>.</w:t>
            </w:r>
            <w:r>
              <w:rPr>
                <w:rFonts w:hint="eastAsia" w:ascii="CESI仿宋-GB2312" w:hAnsi="CESI仿宋-GB2312" w:eastAsia="CESI仿宋-GB2312" w:cs="CESI仿宋-GB2312"/>
                <w:color w:val="auto"/>
                <w:sz w:val="21"/>
                <w:szCs w:val="21"/>
                <w:highlight w:val="none"/>
              </w:rPr>
              <w:t>项目负责人近三年（2022年1月1日至本项目投标截止时间）担任过5家或以上政府部门（含政府部门名下的事业单位）法律顾问的得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在</w:t>
            </w:r>
            <w:r>
              <w:rPr>
                <w:rFonts w:hint="eastAsia" w:ascii="CESI仿宋-GB2312" w:hAnsi="CESI仿宋-GB2312" w:eastAsia="CESI仿宋-GB2312" w:cs="CESI仿宋-GB2312"/>
                <w:lang w:val="en-US" w:eastAsia="zh-CN"/>
              </w:rPr>
              <w:t>同一单位多次担任</w:t>
            </w:r>
            <w:r>
              <w:rPr>
                <w:rFonts w:hint="eastAsia" w:ascii="CESI仿宋-GB2312" w:hAnsi="CESI仿宋-GB2312" w:eastAsia="CESI仿宋-GB2312" w:cs="CESI仿宋-GB2312"/>
                <w:color w:val="auto"/>
                <w:sz w:val="21"/>
                <w:szCs w:val="21"/>
                <w:highlight w:val="none"/>
              </w:rPr>
              <w:t>法律顾问</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不重复计算</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rPr>
              <w:t>。</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 xml:space="preserve">2.项目负责人满足以下两项及其以上的得2分，满足其中一项的得0.5分，四项都不满足的不得分： </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 xml:space="preserve">（1）法学副高（及以上）职称； </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 xml:space="preserve">（2）法学博士学位； </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rPr>
              <w:t>（3）获得全国优秀律师类荣誉奖项</w:t>
            </w:r>
            <w:r>
              <w:rPr>
                <w:rFonts w:hint="eastAsia" w:ascii="CESI仿宋-GB2312" w:hAnsi="CESI仿宋-GB2312" w:eastAsia="CESI仿宋-GB2312" w:cs="CESI仿宋-GB2312"/>
                <w:color w:val="auto"/>
                <w:sz w:val="21"/>
                <w:szCs w:val="21"/>
                <w:highlight w:val="none"/>
                <w:lang w:eastAsia="zh-CN"/>
              </w:rPr>
              <w:t>；</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 xml:space="preserve">（4）具有20年或以上律师职业经验。 </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3.项目负责人近三年（2022年1月1日至本项目投标截止时间）代理过土地、规划等自然资源领域行政诉讼案件的，1-4宗得0.5分，5-9宗的得1分，10宗或以上的得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分（同一案件不同审级按一宗计），此小项最高得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w:t>
            </w:r>
          </w:p>
          <w:p>
            <w:pPr>
              <w:keepNext w:val="0"/>
              <w:keepLines w:val="0"/>
              <w:widowControl/>
              <w:suppressLineNumbers w:val="0"/>
              <w:jc w:val="left"/>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4.项目负责人近三年（2022年1月1日至本项目投标截止时间）曾承担过政府部门或行政机关课题研究类或立法类专项项目的，3-5个得0.5分，6-9个得1分，10个或以上的得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分，此小项最高得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（二）评分依据</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1.提供通过投标人购买的项目负责人开标之日前三个月中任意一个月的社保证明（由于社保部门原因最近一个月的社保证明无法提供的可往前顺延一个月；如供应商为新成立企业且成立时间不足一个月可提供加盖公章的情况说明或者证明材料亦视为符合。退休人员提供返聘合同也视为符合），</w:t>
            </w:r>
            <w:r>
              <w:rPr>
                <w:rFonts w:hint="eastAsia" w:ascii="CESI仿宋-GB2312" w:hAnsi="CESI仿宋-GB2312" w:eastAsia="CESI仿宋-GB2312" w:cs="CESI仿宋-GB2312"/>
                <w:color w:val="auto"/>
                <w:sz w:val="21"/>
                <w:szCs w:val="21"/>
                <w:highlight w:val="none"/>
                <w:lang w:val="en-US" w:eastAsia="zh-CN"/>
              </w:rPr>
              <w:t>职称证书、学位证书、</w:t>
            </w:r>
            <w:r>
              <w:rPr>
                <w:rFonts w:hint="eastAsia" w:ascii="CESI仿宋-GB2312" w:hAnsi="CESI仿宋-GB2312" w:eastAsia="CESI仿宋-GB2312" w:cs="CESI仿宋-GB2312"/>
                <w:color w:val="auto"/>
                <w:sz w:val="21"/>
                <w:szCs w:val="21"/>
                <w:highlight w:val="none"/>
              </w:rPr>
              <w:t>执业证明、获奖证明、裁判文书或委托合同关键信息等证明材料复印件，原件备查。</w:t>
            </w:r>
          </w:p>
          <w:p>
            <w:pPr>
              <w:pStyle w:val="20"/>
              <w:jc w:val="both"/>
              <w:rPr>
                <w:rFonts w:hint="eastAsia" w:ascii="CESI仿宋-GB2312" w:hAnsi="CESI仿宋-GB2312" w:eastAsia="CESI仿宋-GB2312" w:cs="CESI仿宋-GB2312"/>
                <w:color w:val="auto"/>
                <w:sz w:val="21"/>
                <w:szCs w:val="21"/>
                <w:highlight w:val="none"/>
                <w:lang w:val="en-US" w:eastAsia="zh-CN"/>
              </w:rPr>
            </w:pPr>
            <w:r>
              <w:rPr>
                <w:rFonts w:hint="eastAsia" w:ascii="CESI仿宋-GB2312" w:hAnsi="CESI仿宋-GB2312" w:eastAsia="CESI仿宋-GB2312" w:cs="CESI仿宋-GB2312"/>
                <w:color w:val="auto"/>
                <w:sz w:val="21"/>
                <w:szCs w:val="21"/>
                <w:highlight w:val="none"/>
              </w:rPr>
              <w:t>2.</w:t>
            </w:r>
            <w:r>
              <w:rPr>
                <w:rFonts w:hint="eastAsia" w:ascii="CESI仿宋-GB2312" w:hAnsi="CESI仿宋-GB2312" w:eastAsia="CESI仿宋-GB2312" w:cs="CESI仿宋-GB2312"/>
                <w:color w:val="auto"/>
                <w:sz w:val="21"/>
                <w:szCs w:val="21"/>
                <w:highlight w:val="none"/>
                <w:lang w:val="en-US" w:eastAsia="zh-CN"/>
              </w:rPr>
              <w:t>执业证明要求提供律师执业证或司法局出具的执业年限证明。</w:t>
            </w:r>
          </w:p>
          <w:p>
            <w:pPr>
              <w:pStyle w:val="20"/>
              <w:jc w:val="both"/>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val="en-US" w:eastAsia="zh-CN"/>
              </w:rPr>
              <w:t>3.</w:t>
            </w:r>
            <w:r>
              <w:rPr>
                <w:rFonts w:hint="eastAsia" w:ascii="CESI仿宋-GB2312" w:hAnsi="CESI仿宋-GB2312" w:eastAsia="CESI仿宋-GB2312" w:cs="CESI仿宋-GB2312"/>
                <w:color w:val="auto"/>
                <w:sz w:val="21"/>
                <w:szCs w:val="21"/>
                <w:highlight w:val="none"/>
              </w:rPr>
              <w:t>考察</w:t>
            </w:r>
            <w:r>
              <w:rPr>
                <w:rFonts w:hint="eastAsia" w:ascii="CESI仿宋-GB2312" w:hAnsi="CESI仿宋-GB2312" w:eastAsia="CESI仿宋-GB2312" w:cs="CESI仿宋-GB2312"/>
                <w:color w:val="auto"/>
                <w:sz w:val="21"/>
                <w:szCs w:val="21"/>
                <w:highlight w:val="none"/>
                <w:lang w:val="en-US" w:eastAsia="zh-CN"/>
              </w:rPr>
              <w:t>学位</w:t>
            </w:r>
            <w:r>
              <w:rPr>
                <w:rFonts w:hint="eastAsia" w:ascii="CESI仿宋-GB2312" w:hAnsi="CESI仿宋-GB2312" w:eastAsia="CESI仿宋-GB2312" w:cs="CESI仿宋-GB2312"/>
                <w:color w:val="auto"/>
                <w:sz w:val="21"/>
                <w:szCs w:val="21"/>
                <w:highlight w:val="none"/>
              </w:rPr>
              <w:t>证书的，</w:t>
            </w:r>
            <w:r>
              <w:rPr>
                <w:rFonts w:hint="eastAsia" w:ascii="CESI仿宋-GB2312" w:hAnsi="CESI仿宋-GB2312" w:eastAsia="CESI仿宋-GB2312" w:cs="CESI仿宋-GB2312"/>
                <w:color w:val="auto"/>
                <w:sz w:val="21"/>
                <w:szCs w:val="21"/>
                <w:highlight w:val="none"/>
                <w:lang w:val="en-US" w:eastAsia="zh-CN"/>
              </w:rPr>
              <w:t>同时提供</w:t>
            </w:r>
            <w:r>
              <w:rPr>
                <w:rFonts w:hint="eastAsia" w:ascii="CESI仿宋-GB2312" w:hAnsi="CESI仿宋-GB2312" w:eastAsia="CESI仿宋-GB2312" w:cs="CESI仿宋-GB2312"/>
                <w:color w:val="auto"/>
                <w:sz w:val="21"/>
                <w:szCs w:val="21"/>
                <w:highlight w:val="none"/>
              </w:rPr>
              <w:t>学信网查询记录，原件备查。对于较早颁发的</w:t>
            </w:r>
            <w:r>
              <w:rPr>
                <w:rFonts w:hint="eastAsia" w:ascii="CESI仿宋-GB2312" w:hAnsi="CESI仿宋-GB2312" w:eastAsia="CESI仿宋-GB2312" w:cs="CESI仿宋-GB2312"/>
                <w:color w:val="auto"/>
                <w:sz w:val="21"/>
                <w:szCs w:val="21"/>
                <w:highlight w:val="none"/>
                <w:lang w:val="en-US" w:eastAsia="zh-CN"/>
              </w:rPr>
              <w:t>学位</w:t>
            </w:r>
            <w:r>
              <w:rPr>
                <w:rFonts w:hint="eastAsia" w:ascii="CESI仿宋-GB2312" w:hAnsi="CESI仿宋-GB2312" w:eastAsia="CESI仿宋-GB2312" w:cs="CESI仿宋-GB2312"/>
                <w:color w:val="auto"/>
                <w:sz w:val="21"/>
                <w:szCs w:val="21"/>
                <w:highlight w:val="none"/>
              </w:rPr>
              <w:t>证书，学信网无法查询的，可提供其他佐证材料（如毕业院校、人社部门等颁发机构或监管机构等单位出具的证明）作为可以得分的依据</w:t>
            </w:r>
            <w:r>
              <w:rPr>
                <w:rFonts w:hint="eastAsia" w:ascii="CESI仿宋-GB2312" w:hAnsi="CESI仿宋-GB2312" w:eastAsia="CESI仿宋-GB2312" w:cs="CESI仿宋-GB2312"/>
                <w:color w:val="auto"/>
                <w:sz w:val="21"/>
                <w:szCs w:val="21"/>
                <w:highlight w:val="none"/>
                <w:lang w:eastAsia="zh-CN"/>
              </w:rPr>
              <w:t>。</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4.</w:t>
            </w:r>
            <w:r>
              <w:rPr>
                <w:rFonts w:hint="eastAsia" w:ascii="CESI仿宋-GB2312" w:hAnsi="CESI仿宋-GB2312" w:eastAsia="CESI仿宋-GB2312" w:cs="CESI仿宋-GB2312"/>
                <w:color w:val="auto"/>
                <w:sz w:val="21"/>
                <w:szCs w:val="21"/>
                <w:highlight w:val="none"/>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lang w:eastAsia="zh-CN"/>
              </w:rPr>
            </w:pPr>
            <w:r>
              <w:rPr>
                <w:rFonts w:hint="eastAsia" w:ascii="CESI仿宋-GB2312" w:hAnsi="CESI仿宋-GB2312" w:eastAsia="CESI仿宋-GB2312" w:cs="CESI仿宋-GB2312"/>
                <w:color w:val="auto"/>
                <w:sz w:val="21"/>
                <w:szCs w:val="21"/>
                <w:lang w:val="en-US" w:eastAsia="zh-CN"/>
              </w:rPr>
              <w:t>3</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拟安排的项目团队成员（主要技术人员）情况（项目负责人除外）</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lang w:val="en-US" w:eastAsia="zh-CN"/>
              </w:rPr>
              <w:t>12</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（一）评审内容</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拟安排的项目团队成员须为投标人自有员工（提供社保作为证明材料），项目团队成员不少于3人（项目负责人除外），否则本项不得分。在此基础上进行以下评分：</w:t>
            </w:r>
          </w:p>
          <w:p>
            <w:pPr>
              <w:pStyle w:val="20"/>
              <w:numPr>
                <w:ilvl w:val="0"/>
                <w:numId w:val="0"/>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kern w:val="0"/>
                <w:sz w:val="21"/>
                <w:szCs w:val="21"/>
                <w:lang w:val="en-US" w:eastAsia="zh-CN" w:bidi="ar-SA"/>
              </w:rPr>
              <w:t>1.</w:t>
            </w:r>
            <w:r>
              <w:rPr>
                <w:rFonts w:hint="eastAsia" w:ascii="CESI仿宋-GB2312" w:hAnsi="CESI仿宋-GB2312" w:eastAsia="CESI仿宋-GB2312" w:cs="CESI仿宋-GB2312"/>
                <w:color w:val="auto"/>
                <w:sz w:val="21"/>
                <w:szCs w:val="21"/>
                <w:highlight w:val="none"/>
              </w:rPr>
              <w:t>有3名或3名以上团队成员都具备法学</w:t>
            </w:r>
            <w:r>
              <w:rPr>
                <w:rFonts w:hint="eastAsia" w:ascii="CESI仿宋-GB2312" w:hAnsi="CESI仿宋-GB2312" w:eastAsia="CESI仿宋-GB2312" w:cs="CESI仿宋-GB2312"/>
                <w:color w:val="auto"/>
                <w:sz w:val="21"/>
                <w:szCs w:val="21"/>
                <w:highlight w:val="none"/>
                <w:lang w:val="en-US" w:eastAsia="zh-CN"/>
              </w:rPr>
              <w:t>本科</w:t>
            </w:r>
            <w:r>
              <w:rPr>
                <w:rFonts w:hint="eastAsia" w:ascii="CESI仿宋-GB2312" w:hAnsi="CESI仿宋-GB2312" w:eastAsia="CESI仿宋-GB2312" w:cs="CESI仿宋-GB2312"/>
                <w:color w:val="auto"/>
                <w:sz w:val="21"/>
                <w:szCs w:val="21"/>
                <w:highlight w:val="none"/>
              </w:rPr>
              <w:t>或以上学历</w:t>
            </w:r>
            <w:r>
              <w:rPr>
                <w:rFonts w:hint="eastAsia" w:ascii="CESI仿宋-GB2312" w:hAnsi="CESI仿宋-GB2312" w:eastAsia="CESI仿宋-GB2312" w:cs="CESI仿宋-GB2312"/>
                <w:color w:val="auto"/>
                <w:sz w:val="21"/>
                <w:szCs w:val="21"/>
                <w:highlight w:val="none"/>
                <w:lang w:val="en-US" w:eastAsia="zh-CN"/>
              </w:rPr>
              <w:t>学位</w:t>
            </w:r>
            <w:r>
              <w:rPr>
                <w:rFonts w:hint="eastAsia" w:ascii="CESI仿宋-GB2312" w:hAnsi="CESI仿宋-GB2312" w:eastAsia="CESI仿宋-GB2312" w:cs="CESI仿宋-GB2312"/>
                <w:color w:val="auto"/>
                <w:sz w:val="21"/>
                <w:szCs w:val="21"/>
                <w:highlight w:val="none"/>
              </w:rPr>
              <w:t>得</w:t>
            </w:r>
            <w:r>
              <w:rPr>
                <w:rFonts w:hint="eastAsia" w:ascii="CESI仿宋-GB2312" w:hAnsi="CESI仿宋-GB2312" w:eastAsia="CESI仿宋-GB2312" w:cs="CESI仿宋-GB2312"/>
                <w:color w:val="auto"/>
                <w:sz w:val="21"/>
                <w:szCs w:val="21"/>
                <w:highlight w:val="none"/>
                <w:lang w:val="en-US" w:eastAsia="zh-CN"/>
              </w:rPr>
              <w:t>1</w:t>
            </w:r>
            <w:r>
              <w:rPr>
                <w:rFonts w:hint="eastAsia" w:ascii="CESI仿宋-GB2312" w:hAnsi="CESI仿宋-GB2312" w:eastAsia="CESI仿宋-GB2312" w:cs="CESI仿宋-GB2312"/>
                <w:color w:val="auto"/>
                <w:sz w:val="21"/>
                <w:szCs w:val="21"/>
                <w:highlight w:val="none"/>
              </w:rPr>
              <w:t>分，有3名或3名以上团队成员具备法学硕士或以上学历</w:t>
            </w:r>
            <w:r>
              <w:rPr>
                <w:rFonts w:hint="eastAsia" w:ascii="CESI仿宋-GB2312" w:hAnsi="CESI仿宋-GB2312" w:eastAsia="CESI仿宋-GB2312" w:cs="CESI仿宋-GB2312"/>
                <w:color w:val="auto"/>
                <w:sz w:val="21"/>
                <w:szCs w:val="21"/>
                <w:highlight w:val="none"/>
                <w:lang w:val="en-US" w:eastAsia="zh-CN"/>
              </w:rPr>
              <w:t>学位</w:t>
            </w:r>
            <w:r>
              <w:rPr>
                <w:rFonts w:hint="eastAsia" w:ascii="CESI仿宋-GB2312" w:hAnsi="CESI仿宋-GB2312" w:eastAsia="CESI仿宋-GB2312" w:cs="CESI仿宋-GB2312"/>
                <w:color w:val="auto"/>
                <w:sz w:val="21"/>
                <w:szCs w:val="21"/>
                <w:highlight w:val="none"/>
              </w:rPr>
              <w:t>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此小项最高得2</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w:t>
            </w:r>
          </w:p>
          <w:p>
            <w:pPr>
              <w:pStyle w:val="20"/>
              <w:numPr>
                <w:ilvl w:val="0"/>
                <w:numId w:val="0"/>
              </w:numPr>
              <w:jc w:val="both"/>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kern w:val="0"/>
                <w:sz w:val="21"/>
                <w:szCs w:val="21"/>
                <w:lang w:val="en-US" w:eastAsia="zh-CN" w:bidi="ar-SA"/>
              </w:rPr>
              <w:t>2.</w:t>
            </w:r>
            <w:r>
              <w:rPr>
                <w:rFonts w:hint="eastAsia" w:ascii="CESI仿宋-GB2312" w:hAnsi="CESI仿宋-GB2312" w:eastAsia="CESI仿宋-GB2312" w:cs="CESI仿宋-GB2312"/>
                <w:color w:val="auto"/>
                <w:sz w:val="21"/>
                <w:szCs w:val="21"/>
                <w:highlight w:val="none"/>
              </w:rPr>
              <w:t>有3名或以上团队成员近三年（</w:t>
            </w:r>
            <w:r>
              <w:rPr>
                <w:rFonts w:hint="eastAsia" w:ascii="CESI仿宋-GB2312" w:hAnsi="CESI仿宋-GB2312" w:eastAsia="CESI仿宋-GB2312" w:cs="CESI仿宋-GB2312"/>
                <w:color w:val="auto"/>
                <w:sz w:val="21"/>
                <w:szCs w:val="21"/>
                <w:highlight w:val="none"/>
                <w:lang w:val="en-US"/>
              </w:rPr>
              <w:t>2022</w:t>
            </w:r>
            <w:r>
              <w:rPr>
                <w:rFonts w:hint="eastAsia" w:ascii="CESI仿宋-GB2312" w:hAnsi="CESI仿宋-GB2312" w:eastAsia="CESI仿宋-GB2312" w:cs="CESI仿宋-GB2312"/>
                <w:color w:val="auto"/>
                <w:sz w:val="21"/>
                <w:szCs w:val="21"/>
                <w:highlight w:val="none"/>
              </w:rPr>
              <w:t>年1月1日至本项目投标截止时间）担任过</w:t>
            </w:r>
            <w:r>
              <w:rPr>
                <w:rFonts w:hint="eastAsia" w:ascii="CESI仿宋-GB2312" w:hAnsi="CESI仿宋-GB2312" w:eastAsia="CESI仿宋-GB2312" w:cs="CESI仿宋-GB2312"/>
                <w:color w:val="auto"/>
                <w:sz w:val="21"/>
                <w:szCs w:val="21"/>
                <w:highlight w:val="none"/>
                <w:lang w:eastAsia="zh-CN"/>
              </w:rPr>
              <w:t>政府部门（含政府部门名下的事业单位）</w:t>
            </w:r>
            <w:r>
              <w:rPr>
                <w:rFonts w:hint="eastAsia" w:ascii="CESI仿宋-GB2312" w:hAnsi="CESI仿宋-GB2312" w:eastAsia="CESI仿宋-GB2312" w:cs="CESI仿宋-GB2312"/>
                <w:color w:val="auto"/>
                <w:sz w:val="21"/>
                <w:szCs w:val="21"/>
                <w:highlight w:val="none"/>
              </w:rPr>
              <w:t>法律顾问的得2分。</w:t>
            </w:r>
          </w:p>
          <w:p>
            <w:pPr>
              <w:pStyle w:val="20"/>
              <w:numPr>
                <w:ilvl w:val="0"/>
                <w:numId w:val="0"/>
              </w:numPr>
              <w:jc w:val="both"/>
              <w:rPr>
                <w:rFonts w:hint="eastAsia" w:ascii="CESI仿宋-GB2312" w:hAnsi="CESI仿宋-GB2312" w:eastAsia="CESI仿宋-GB2312" w:cs="CESI仿宋-GB2312"/>
                <w:color w:val="auto"/>
                <w:sz w:val="21"/>
                <w:szCs w:val="21"/>
                <w:lang w:val="en-US" w:eastAsia="zh-CN"/>
              </w:rPr>
            </w:pPr>
            <w:r>
              <w:rPr>
                <w:rFonts w:hint="eastAsia" w:ascii="CESI仿宋-GB2312" w:hAnsi="CESI仿宋-GB2312" w:eastAsia="CESI仿宋-GB2312" w:cs="CESI仿宋-GB2312"/>
                <w:color w:val="auto"/>
                <w:kern w:val="0"/>
                <w:sz w:val="21"/>
                <w:szCs w:val="21"/>
                <w:lang w:val="en-US" w:eastAsia="zh-CN" w:bidi="ar-SA"/>
              </w:rPr>
              <w:t>3.</w:t>
            </w:r>
            <w:r>
              <w:rPr>
                <w:rFonts w:hint="eastAsia" w:ascii="CESI仿宋-GB2312" w:hAnsi="CESI仿宋-GB2312" w:eastAsia="CESI仿宋-GB2312" w:cs="CESI仿宋-GB2312"/>
                <w:color w:val="auto"/>
                <w:sz w:val="21"/>
                <w:szCs w:val="21"/>
                <w:highlight w:val="none"/>
              </w:rPr>
              <w:t>团队成员近三年（</w:t>
            </w:r>
            <w:r>
              <w:rPr>
                <w:rFonts w:hint="eastAsia" w:ascii="CESI仿宋-GB2312" w:hAnsi="CESI仿宋-GB2312" w:eastAsia="CESI仿宋-GB2312" w:cs="CESI仿宋-GB2312"/>
                <w:color w:val="auto"/>
                <w:sz w:val="21"/>
                <w:szCs w:val="21"/>
                <w:highlight w:val="none"/>
                <w:lang w:val="en-US"/>
              </w:rPr>
              <w:t>2022</w:t>
            </w:r>
            <w:r>
              <w:rPr>
                <w:rFonts w:hint="eastAsia" w:ascii="CESI仿宋-GB2312" w:hAnsi="CESI仿宋-GB2312" w:eastAsia="CESI仿宋-GB2312" w:cs="CESI仿宋-GB2312"/>
                <w:color w:val="auto"/>
                <w:sz w:val="21"/>
                <w:szCs w:val="21"/>
                <w:highlight w:val="none"/>
              </w:rPr>
              <w:t>年1月1日至本项目投标截止时间）代理过土地、规划等</w:t>
            </w:r>
            <w:r>
              <w:rPr>
                <w:rFonts w:hint="eastAsia" w:ascii="CESI仿宋-GB2312" w:hAnsi="CESI仿宋-GB2312" w:eastAsia="CESI仿宋-GB2312" w:cs="CESI仿宋-GB2312"/>
                <w:color w:val="auto"/>
                <w:sz w:val="21"/>
                <w:szCs w:val="21"/>
                <w:highlight w:val="none"/>
                <w:lang w:val="en-US" w:eastAsia="zh-CN"/>
              </w:rPr>
              <w:t>自然资源</w:t>
            </w:r>
            <w:r>
              <w:rPr>
                <w:rFonts w:hint="eastAsia" w:ascii="CESI仿宋-GB2312" w:hAnsi="CESI仿宋-GB2312" w:eastAsia="CESI仿宋-GB2312" w:cs="CESI仿宋-GB2312"/>
                <w:color w:val="auto"/>
                <w:sz w:val="21"/>
                <w:szCs w:val="21"/>
                <w:highlight w:val="none"/>
              </w:rPr>
              <w:t>领域行政诉讼案件的，1-4宗得1分，5-9宗的得</w:t>
            </w:r>
            <w:r>
              <w:rPr>
                <w:rFonts w:hint="eastAsia" w:ascii="CESI仿宋-GB2312" w:hAnsi="CESI仿宋-GB2312" w:eastAsia="CESI仿宋-GB2312" w:cs="CESI仿宋-GB2312"/>
                <w:color w:val="auto"/>
                <w:sz w:val="21"/>
                <w:szCs w:val="21"/>
                <w:highlight w:val="none"/>
                <w:lang w:val="en-US" w:eastAsia="zh-CN"/>
              </w:rPr>
              <w:t>2</w:t>
            </w:r>
            <w:r>
              <w:rPr>
                <w:rFonts w:hint="eastAsia" w:ascii="CESI仿宋-GB2312" w:hAnsi="CESI仿宋-GB2312" w:eastAsia="CESI仿宋-GB2312" w:cs="CESI仿宋-GB2312"/>
                <w:color w:val="auto"/>
                <w:sz w:val="21"/>
                <w:szCs w:val="21"/>
                <w:highlight w:val="none"/>
              </w:rPr>
              <w:t>分，10宗或以上的得</w:t>
            </w:r>
            <w:r>
              <w:rPr>
                <w:rFonts w:hint="eastAsia" w:ascii="CESI仿宋-GB2312" w:hAnsi="CESI仿宋-GB2312" w:eastAsia="CESI仿宋-GB2312" w:cs="CESI仿宋-GB2312"/>
                <w:color w:val="auto"/>
                <w:sz w:val="21"/>
                <w:szCs w:val="21"/>
                <w:highlight w:val="none"/>
                <w:lang w:val="en-US" w:eastAsia="zh-CN"/>
              </w:rPr>
              <w:t>4</w:t>
            </w:r>
            <w:r>
              <w:rPr>
                <w:rFonts w:hint="eastAsia" w:ascii="CESI仿宋-GB2312" w:hAnsi="CESI仿宋-GB2312" w:eastAsia="CESI仿宋-GB2312" w:cs="CESI仿宋-GB2312"/>
                <w:color w:val="auto"/>
                <w:sz w:val="21"/>
                <w:szCs w:val="21"/>
                <w:highlight w:val="none"/>
              </w:rPr>
              <w:t>分（同一案件不同审级按一宗计</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多个成员代理同一案件按一宗计</w:t>
            </w:r>
            <w:r>
              <w:rPr>
                <w:rFonts w:hint="eastAsia" w:ascii="CESI仿宋-GB2312" w:hAnsi="CESI仿宋-GB2312" w:eastAsia="CESI仿宋-GB2312" w:cs="CESI仿宋-GB2312"/>
                <w:color w:val="auto"/>
                <w:sz w:val="21"/>
                <w:szCs w:val="21"/>
                <w:highlight w:val="none"/>
              </w:rPr>
              <w:t>）</w:t>
            </w:r>
            <w:r>
              <w:rPr>
                <w:rFonts w:hint="eastAsia" w:ascii="CESI仿宋-GB2312" w:hAnsi="CESI仿宋-GB2312" w:eastAsia="CESI仿宋-GB2312" w:cs="CESI仿宋-GB2312"/>
                <w:color w:val="auto"/>
                <w:sz w:val="21"/>
                <w:szCs w:val="21"/>
                <w:highlight w:val="none"/>
                <w:lang w:eastAsia="zh-CN"/>
              </w:rPr>
              <w:t>，</w:t>
            </w:r>
            <w:r>
              <w:rPr>
                <w:rFonts w:hint="eastAsia" w:ascii="CESI仿宋-GB2312" w:hAnsi="CESI仿宋-GB2312" w:eastAsia="CESI仿宋-GB2312" w:cs="CESI仿宋-GB2312"/>
                <w:color w:val="auto"/>
                <w:sz w:val="21"/>
                <w:szCs w:val="21"/>
                <w:highlight w:val="none"/>
                <w:lang w:val="en-US" w:eastAsia="zh-CN"/>
              </w:rPr>
              <w:t>此小项最高得4</w:t>
            </w:r>
            <w:r>
              <w:rPr>
                <w:rFonts w:hint="eastAsia" w:ascii="CESI仿宋-GB2312" w:hAnsi="CESI仿宋-GB2312" w:eastAsia="CESI仿宋-GB2312" w:cs="CESI仿宋-GB2312"/>
                <w:color w:val="auto"/>
                <w:sz w:val="21"/>
                <w:szCs w:val="21"/>
                <w:highlight w:val="none"/>
              </w:rPr>
              <w:t>分</w:t>
            </w:r>
            <w:r>
              <w:rPr>
                <w:rFonts w:hint="eastAsia" w:ascii="CESI仿宋-GB2312" w:hAnsi="CESI仿宋-GB2312" w:eastAsia="CESI仿宋-GB2312" w:cs="CESI仿宋-GB2312"/>
                <w:color w:val="auto"/>
                <w:sz w:val="21"/>
                <w:szCs w:val="21"/>
                <w:highlight w:val="none"/>
                <w:lang w:eastAsia="zh-CN"/>
              </w:rPr>
              <w:t>。</w:t>
            </w:r>
          </w:p>
          <w:p>
            <w:pPr>
              <w:pStyle w:val="20"/>
              <w:numPr>
                <w:ilvl w:val="0"/>
                <w:numId w:val="0"/>
              </w:numPr>
              <w:jc w:val="both"/>
              <w:rPr>
                <w:rFonts w:hint="eastAsia" w:ascii="CESI仿宋-GB2312" w:hAnsi="CESI仿宋-GB2312" w:eastAsia="CESI仿宋-GB2312" w:cs="CESI仿宋-GB2312"/>
                <w:color w:val="auto"/>
                <w:sz w:val="21"/>
                <w:szCs w:val="21"/>
                <w:lang w:val="en-US" w:eastAsia="zh-CN"/>
              </w:rPr>
            </w:pPr>
            <w:r>
              <w:rPr>
                <w:rFonts w:hint="eastAsia" w:ascii="CESI仿宋-GB2312" w:hAnsi="CESI仿宋-GB2312" w:eastAsia="CESI仿宋-GB2312" w:cs="CESI仿宋-GB2312"/>
                <w:color w:val="auto"/>
                <w:kern w:val="0"/>
                <w:sz w:val="21"/>
                <w:szCs w:val="21"/>
                <w:lang w:val="en-US" w:eastAsia="zh-CN" w:bidi="ar-SA"/>
              </w:rPr>
              <w:t>4.</w:t>
            </w:r>
            <w:r>
              <w:rPr>
                <w:rFonts w:hint="eastAsia" w:ascii="CESI仿宋-GB2312" w:hAnsi="CESI仿宋-GB2312" w:eastAsia="CESI仿宋-GB2312" w:cs="CESI仿宋-GB2312"/>
                <w:color w:val="auto"/>
                <w:kern w:val="0"/>
                <w:sz w:val="21"/>
                <w:szCs w:val="21"/>
                <w:lang w:val="en-US" w:eastAsia="zh-CN" w:bidi="ar"/>
              </w:rPr>
              <w:t>团队成员近三年（2021年1月1日至本项目投标截止时间）曾承担过政府部门或行政机关课题研究类或立法类专项项目的，3-5个得1分，6-9个得2分，10个或以上的得4分，此小项最高4分。</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（二）评分依据</w:t>
            </w:r>
          </w:p>
          <w:p>
            <w:pPr>
              <w:pStyle w:val="20"/>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rPr>
              <w:t>1.提供通过投标人购买的项目团队成员开标之日前三个月中任意一个月的社保证明（由于社保部门原因最近一个月的社保证明无法提供的可往前顺延一个月；如供应商为新成立企业且成立时间不足一个月可提供加盖公章的情况说明或者证明材料亦视为符合。退休人员提供返聘合同也视为符合），学历证书、</w:t>
            </w:r>
            <w:r>
              <w:rPr>
                <w:rFonts w:hint="eastAsia" w:ascii="CESI仿宋-GB2312" w:hAnsi="CESI仿宋-GB2312" w:eastAsia="CESI仿宋-GB2312" w:cs="CESI仿宋-GB2312"/>
                <w:color w:val="auto"/>
                <w:sz w:val="21"/>
                <w:szCs w:val="21"/>
                <w:highlight w:val="none"/>
                <w:lang w:val="en-US" w:eastAsia="zh-CN"/>
              </w:rPr>
              <w:t>学位证书、</w:t>
            </w:r>
            <w:r>
              <w:rPr>
                <w:rFonts w:hint="eastAsia" w:ascii="CESI仿宋-GB2312" w:hAnsi="CESI仿宋-GB2312" w:eastAsia="CESI仿宋-GB2312" w:cs="CESI仿宋-GB2312"/>
                <w:color w:val="auto"/>
                <w:sz w:val="21"/>
                <w:szCs w:val="21"/>
                <w:highlight w:val="none"/>
              </w:rPr>
              <w:t>裁判文书或委托合同等证明材料复印件，原件备查。</w:t>
            </w:r>
          </w:p>
          <w:p>
            <w:pPr>
              <w:pStyle w:val="20"/>
              <w:jc w:val="both"/>
              <w:rPr>
                <w:rFonts w:hint="eastAsia" w:ascii="CESI仿宋-GB2312" w:hAnsi="CESI仿宋-GB2312" w:eastAsia="CESI仿宋-GB2312" w:cs="CESI仿宋-GB2312"/>
                <w:color w:val="auto"/>
                <w:sz w:val="21"/>
                <w:szCs w:val="21"/>
                <w:highlight w:val="none"/>
                <w:lang w:eastAsia="zh-CN"/>
              </w:rPr>
            </w:pPr>
            <w:r>
              <w:rPr>
                <w:rFonts w:hint="eastAsia" w:ascii="CESI仿宋-GB2312" w:hAnsi="CESI仿宋-GB2312" w:eastAsia="CESI仿宋-GB2312" w:cs="CESI仿宋-GB2312"/>
                <w:color w:val="auto"/>
                <w:sz w:val="21"/>
                <w:szCs w:val="21"/>
                <w:highlight w:val="none"/>
              </w:rPr>
              <w:t>2.考察学历</w:t>
            </w:r>
            <w:r>
              <w:rPr>
                <w:rFonts w:hint="eastAsia" w:ascii="CESI仿宋-GB2312" w:hAnsi="CESI仿宋-GB2312" w:eastAsia="CESI仿宋-GB2312" w:cs="CESI仿宋-GB2312"/>
                <w:color w:val="auto"/>
                <w:sz w:val="21"/>
                <w:szCs w:val="21"/>
                <w:highlight w:val="none"/>
                <w:lang w:val="en-US" w:eastAsia="zh-CN"/>
              </w:rPr>
              <w:t>学位</w:t>
            </w:r>
            <w:r>
              <w:rPr>
                <w:rFonts w:hint="eastAsia" w:ascii="CESI仿宋-GB2312" w:hAnsi="CESI仿宋-GB2312" w:eastAsia="CESI仿宋-GB2312" w:cs="CESI仿宋-GB2312"/>
                <w:color w:val="auto"/>
                <w:sz w:val="21"/>
                <w:szCs w:val="21"/>
                <w:highlight w:val="none"/>
              </w:rPr>
              <w:t>证书的，</w:t>
            </w:r>
            <w:r>
              <w:rPr>
                <w:rFonts w:hint="eastAsia" w:ascii="CESI仿宋-GB2312" w:hAnsi="CESI仿宋-GB2312" w:eastAsia="CESI仿宋-GB2312" w:cs="CESI仿宋-GB2312"/>
                <w:color w:val="auto"/>
                <w:sz w:val="21"/>
                <w:szCs w:val="21"/>
                <w:highlight w:val="none"/>
                <w:lang w:val="en-US" w:eastAsia="zh-CN"/>
              </w:rPr>
              <w:t>同时提供</w:t>
            </w:r>
            <w:r>
              <w:rPr>
                <w:rFonts w:hint="eastAsia" w:ascii="CESI仿宋-GB2312" w:hAnsi="CESI仿宋-GB2312" w:eastAsia="CESI仿宋-GB2312" w:cs="CESI仿宋-GB2312"/>
                <w:color w:val="auto"/>
                <w:sz w:val="21"/>
                <w:szCs w:val="21"/>
                <w:highlight w:val="none"/>
              </w:rPr>
              <w:t>学信网查询记录，原件备查。对于较早颁发的学历</w:t>
            </w:r>
            <w:r>
              <w:rPr>
                <w:rFonts w:hint="eastAsia" w:ascii="CESI仿宋-GB2312" w:hAnsi="CESI仿宋-GB2312" w:eastAsia="CESI仿宋-GB2312" w:cs="CESI仿宋-GB2312"/>
                <w:color w:val="auto"/>
                <w:sz w:val="21"/>
                <w:szCs w:val="21"/>
                <w:highlight w:val="none"/>
                <w:lang w:val="en-US" w:eastAsia="zh-CN"/>
              </w:rPr>
              <w:t>学位</w:t>
            </w:r>
            <w:r>
              <w:rPr>
                <w:rFonts w:hint="eastAsia" w:ascii="CESI仿宋-GB2312" w:hAnsi="CESI仿宋-GB2312" w:eastAsia="CESI仿宋-GB2312" w:cs="CESI仿宋-GB2312"/>
                <w:color w:val="auto"/>
                <w:sz w:val="21"/>
                <w:szCs w:val="21"/>
                <w:highlight w:val="none"/>
              </w:rPr>
              <w:t>证书，学信网无法查询的，可提供其他佐证材料（如毕业院校、人社部门等颁发机构或监管机构等单位出具的证明）作为可以得分的依据</w:t>
            </w:r>
            <w:r>
              <w:rPr>
                <w:rFonts w:hint="eastAsia" w:ascii="CESI仿宋-GB2312" w:hAnsi="CESI仿宋-GB2312" w:eastAsia="CESI仿宋-GB2312" w:cs="CESI仿宋-GB2312"/>
                <w:color w:val="auto"/>
                <w:sz w:val="21"/>
                <w:szCs w:val="21"/>
                <w:highlight w:val="none"/>
                <w:lang w:eastAsia="zh-CN"/>
              </w:rPr>
              <w:t>。</w:t>
            </w:r>
          </w:p>
          <w:p>
            <w:pPr>
              <w:pStyle w:val="20"/>
              <w:numPr>
                <w:ilvl w:val="0"/>
                <w:numId w:val="0"/>
              </w:numPr>
              <w:jc w:val="both"/>
              <w:rPr>
                <w:rFonts w:hint="eastAsia" w:ascii="CESI仿宋-GB2312" w:hAnsi="CESI仿宋-GB2312" w:eastAsia="CESI仿宋-GB2312" w:cs="CESI仿宋-GB2312"/>
                <w:color w:val="auto"/>
                <w:sz w:val="21"/>
                <w:szCs w:val="21"/>
                <w:highlight w:val="none"/>
              </w:rPr>
            </w:pPr>
            <w:r>
              <w:rPr>
                <w:rFonts w:hint="eastAsia" w:ascii="CESI仿宋-GB2312" w:hAnsi="CESI仿宋-GB2312" w:eastAsia="CESI仿宋-GB2312" w:cs="CESI仿宋-GB2312"/>
                <w:color w:val="auto"/>
                <w:sz w:val="21"/>
                <w:szCs w:val="21"/>
                <w:highlight w:val="none"/>
                <w:lang w:val="en-US" w:eastAsia="zh-CN"/>
              </w:rPr>
              <w:t>3.</w:t>
            </w:r>
            <w:r>
              <w:rPr>
                <w:rFonts w:hint="eastAsia" w:ascii="CESI仿宋-GB2312" w:hAnsi="CESI仿宋-GB2312" w:eastAsia="CESI仿宋-GB2312" w:cs="CESI仿宋-GB2312"/>
                <w:color w:val="auto"/>
                <w:sz w:val="21"/>
                <w:szCs w:val="21"/>
                <w:highlight w:val="none"/>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continue"/>
            <w:tcBorders>
              <w:left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lang w:eastAsia="zh-CN"/>
              </w:rPr>
            </w:pPr>
            <w:r>
              <w:rPr>
                <w:rFonts w:hint="eastAsia" w:ascii="CESI仿宋-GB2312" w:hAnsi="CESI仿宋-GB2312" w:eastAsia="CESI仿宋-GB2312" w:cs="CESI仿宋-GB2312"/>
                <w:color w:val="auto"/>
                <w:sz w:val="21"/>
                <w:szCs w:val="21"/>
                <w:lang w:val="en-US" w:eastAsia="zh-CN"/>
              </w:rPr>
              <w:t>4</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环保执行情况</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2</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left"/>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要求投标人就是否受过环保主管部门行政处罚作为得分依据；以投标人在投标文件中提供的承诺作为依据；若隐瞒情况虚假应标将导致投标无效并报主管部门处理。采取客观化评分；受过行政处罚不得分。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continue"/>
            <w:tcBorders>
              <w:left w:val="single" w:color="auto" w:sz="4" w:space="0"/>
              <w:right w:val="single" w:color="auto" w:sz="4" w:space="0"/>
            </w:tcBorders>
            <w:noWrap w:val="0"/>
            <w:vAlign w:val="center"/>
          </w:tcPr>
          <w:p>
            <w:pPr>
              <w:widowControl/>
              <w:ind w:firstLine="105" w:firstLineChars="50"/>
              <w:jc w:val="left"/>
              <w:rPr>
                <w:rFonts w:hint="eastAsia" w:ascii="CESI仿宋-GB2312" w:hAnsi="CESI仿宋-GB2312" w:eastAsia="CESI仿宋-GB2312" w:cs="CESI仿宋-GB2312"/>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lang w:eastAsia="zh-CN"/>
              </w:rPr>
            </w:pPr>
            <w:r>
              <w:rPr>
                <w:rFonts w:hint="eastAsia" w:ascii="CESI仿宋-GB2312" w:hAnsi="CESI仿宋-GB2312" w:eastAsia="CESI仿宋-GB2312" w:cs="CESI仿宋-GB2312"/>
                <w:color w:val="auto"/>
                <w:sz w:val="21"/>
                <w:szCs w:val="21"/>
                <w:lang w:val="en-US" w:eastAsia="zh-CN"/>
              </w:rPr>
              <w:t>5</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Cs w:val="21"/>
              </w:rPr>
              <w:t>获奖情况</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Cs w:val="21"/>
              </w:rPr>
              <w:t>2</w:t>
            </w:r>
          </w:p>
        </w:tc>
        <w:tc>
          <w:tcPr>
            <w:tcW w:w="5954" w:type="dxa"/>
            <w:tcBorders>
              <w:top w:val="single" w:color="auto" w:sz="4" w:space="0"/>
              <w:left w:val="single" w:color="auto" w:sz="4" w:space="0"/>
              <w:bottom w:val="single" w:color="auto" w:sz="4" w:space="0"/>
              <w:right w:val="single" w:color="auto" w:sz="4" w:space="0"/>
            </w:tcBorders>
            <w:noWrap w:val="0"/>
            <w:vAlign w:val="top"/>
          </w:tcPr>
          <w:p>
            <w:pPr>
              <w:pStyle w:val="20"/>
              <w:jc w:val="both"/>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（一）评分内容：</w:t>
            </w:r>
          </w:p>
          <w:p>
            <w:pPr>
              <w:pStyle w:val="20"/>
              <w:jc w:val="both"/>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投标人获得过市级及以上奖励或荣誉的，1个得1分，满分为2分。</w:t>
            </w:r>
          </w:p>
          <w:p>
            <w:pPr>
              <w:pStyle w:val="20"/>
              <w:jc w:val="both"/>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（二）评分依据：</w:t>
            </w:r>
          </w:p>
          <w:p>
            <w:pPr>
              <w:pStyle w:val="20"/>
              <w:jc w:val="both"/>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1.提供获奖（荣誉）证书等证明材料作为得分依据。如奖励奖项证明由协会或学会颁发的，其协会或学会必须在国家、省或市级民政部门登记备案，投标人在投标文件中需另外提供协会、学会社会团体法人登记证书或在“全国社会组织信用信息公示平台 (chinanpo.gov.cn)”备案登记）的登记备案信息查询截图，未提供的不得分。</w:t>
            </w:r>
          </w:p>
          <w:p>
            <w:pPr>
              <w:pStyle w:val="20"/>
              <w:jc w:val="both"/>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2.以上资料均要求提供复印件，原件备查。</w:t>
            </w:r>
          </w:p>
          <w:p>
            <w:pPr>
              <w:pStyle w:val="20"/>
              <w:jc w:val="both"/>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3.评分中出现无证明资料或专家无法凭所提供资料判断是否得分的情况，一律作不得分处理。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continue"/>
            <w:tcBorders>
              <w:left w:val="single" w:color="auto" w:sz="4" w:space="0"/>
              <w:right w:val="single" w:color="auto" w:sz="4" w:space="0"/>
            </w:tcBorders>
            <w:noWrap w:val="0"/>
            <w:vAlign w:val="center"/>
          </w:tcPr>
          <w:p>
            <w:pPr>
              <w:widowControl/>
              <w:ind w:firstLine="105" w:firstLineChars="50"/>
              <w:jc w:val="left"/>
              <w:rPr>
                <w:rFonts w:hint="eastAsia" w:ascii="CESI仿宋-GB2312" w:hAnsi="CESI仿宋-GB2312" w:eastAsia="CESI仿宋-GB2312" w:cs="CESI仿宋-GB2312"/>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lang w:eastAsia="zh-CN"/>
              </w:rPr>
            </w:pPr>
            <w:r>
              <w:rPr>
                <w:rFonts w:hint="eastAsia" w:ascii="CESI仿宋-GB2312" w:hAnsi="CESI仿宋-GB2312" w:eastAsia="CESI仿宋-GB2312" w:cs="CESI仿宋-GB2312"/>
                <w:color w:val="auto"/>
                <w:sz w:val="21"/>
                <w:szCs w:val="21"/>
                <w:lang w:val="en-US" w:eastAsia="zh-CN"/>
              </w:rPr>
              <w:t>6</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项目拟使用的车辆、场地、工具、机器等情况</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5</w:t>
            </w:r>
          </w:p>
        </w:tc>
        <w:tc>
          <w:tcPr>
            <w:tcW w:w="595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（一）评分内容：</w:t>
            </w:r>
          </w:p>
          <w:p>
            <w:pPr>
              <w:jc w:val="left"/>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投标人拟使用的场地情况（自有、租赁均可），有独立场地的（自有、租赁均可），得5分；无独立场地的（自有、租赁均可）不得分。</w:t>
            </w:r>
          </w:p>
          <w:p>
            <w:pPr>
              <w:jc w:val="left"/>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（二）评分依据：</w:t>
            </w:r>
          </w:p>
          <w:p>
            <w:pPr>
              <w:jc w:val="left"/>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要求投标人提供承诺（格式自定）作为得分依据。未提供承诺或承诺内容不满足要求均不得分。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22" w:type="dxa"/>
            <w:tcBorders>
              <w:left w:val="single" w:color="auto" w:sz="4" w:space="0"/>
              <w:right w:val="single" w:color="auto" w:sz="4" w:space="0"/>
            </w:tcBorders>
            <w:noWrap w:val="0"/>
            <w:vAlign w:val="center"/>
          </w:tcPr>
          <w:p>
            <w:pPr>
              <w:widowControl/>
              <w:ind w:firstLine="105" w:firstLineChars="50"/>
              <w:jc w:val="left"/>
              <w:rPr>
                <w:rFonts w:hint="eastAsia" w:ascii="CESI仿宋-GB2312" w:hAnsi="CESI仿宋-GB2312" w:eastAsia="CESI仿宋-GB2312" w:cs="CESI仿宋-GB2312"/>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color w:val="auto"/>
                <w:sz w:val="21"/>
                <w:szCs w:val="21"/>
                <w:lang w:val="en-US" w:eastAsia="zh-CN"/>
              </w:rPr>
            </w:pPr>
            <w:r>
              <w:rPr>
                <w:rFonts w:hint="eastAsia" w:ascii="CESI仿宋-GB2312" w:hAnsi="CESI仿宋-GB2312" w:eastAsia="CESI仿宋-GB2312" w:cs="CESI仿宋-GB2312"/>
                <w:color w:val="auto"/>
                <w:sz w:val="21"/>
                <w:szCs w:val="21"/>
                <w:lang w:val="en-US" w:eastAsia="zh-CN"/>
              </w:rPr>
              <w:t>7</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pStyle w:val="20"/>
              <w:jc w:val="center"/>
              <w:rPr>
                <w:rFonts w:hint="eastAsia" w:ascii="CESI仿宋-GB2312" w:hAnsi="CESI仿宋-GB2312" w:eastAsia="CESI仿宋-GB2312" w:cs="CESI仿宋-GB2312"/>
                <w:color w:val="auto"/>
                <w:sz w:val="21"/>
                <w:szCs w:val="21"/>
                <w:u w:val="none"/>
              </w:rPr>
            </w:pPr>
            <w:r>
              <w:rPr>
                <w:rFonts w:hint="eastAsia" w:ascii="CESI仿宋-GB2312" w:hAnsi="CESI仿宋-GB2312" w:eastAsia="CESI仿宋-GB2312" w:cs="CESI仿宋-GB2312"/>
                <w:color w:val="auto"/>
                <w:sz w:val="21"/>
                <w:szCs w:val="21"/>
                <w:u w:val="none"/>
              </w:rPr>
              <w:t>服务网点</w:t>
            </w:r>
          </w:p>
        </w:tc>
        <w:tc>
          <w:tcPr>
            <w:tcW w:w="791" w:type="dxa"/>
            <w:tcBorders>
              <w:top w:val="single" w:color="auto" w:sz="4" w:space="0"/>
              <w:left w:val="single" w:color="auto" w:sz="4" w:space="0"/>
              <w:bottom w:val="single" w:color="auto" w:sz="4" w:space="0"/>
              <w:right w:val="single" w:color="auto" w:sz="4" w:space="0"/>
            </w:tcBorders>
            <w:noWrap w:val="0"/>
            <w:vAlign w:val="center"/>
          </w:tcPr>
          <w:p>
            <w:pPr>
              <w:pStyle w:val="20"/>
              <w:jc w:val="center"/>
              <w:rPr>
                <w:rFonts w:hint="eastAsia" w:ascii="CESI仿宋-GB2312" w:hAnsi="CESI仿宋-GB2312" w:eastAsia="CESI仿宋-GB2312" w:cs="CESI仿宋-GB2312"/>
                <w:color w:val="auto"/>
                <w:sz w:val="21"/>
                <w:szCs w:val="21"/>
                <w:u w:val="none"/>
                <w:lang w:val="en-US" w:eastAsia="zh-CN"/>
              </w:rPr>
            </w:pPr>
            <w:r>
              <w:rPr>
                <w:rFonts w:hint="eastAsia" w:ascii="CESI仿宋-GB2312" w:hAnsi="CESI仿宋-GB2312" w:eastAsia="CESI仿宋-GB2312" w:cs="CESI仿宋-GB2312"/>
                <w:color w:val="auto"/>
                <w:sz w:val="21"/>
                <w:szCs w:val="21"/>
                <w:u w:val="none"/>
                <w:lang w:val="en-US" w:eastAsia="zh-CN"/>
              </w:rPr>
              <w:t>3</w:t>
            </w:r>
          </w:p>
        </w:tc>
        <w:tc>
          <w:tcPr>
            <w:tcW w:w="595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u w:val="none"/>
              </w:rPr>
              <w:t>供应商承诺中标</w:t>
            </w:r>
            <w:r>
              <w:rPr>
                <w:rFonts w:hint="eastAsia" w:ascii="CESI仿宋-GB2312" w:hAnsi="CESI仿宋-GB2312" w:eastAsia="CESI仿宋-GB2312" w:cs="CESI仿宋-GB2312"/>
                <w:color w:val="auto"/>
                <w:sz w:val="21"/>
                <w:szCs w:val="21"/>
              </w:rPr>
              <w:t>后提供本地经营（服务）网点得</w:t>
            </w:r>
            <w:r>
              <w:rPr>
                <w:rFonts w:hint="eastAsia" w:ascii="CESI仿宋-GB2312" w:hAnsi="CESI仿宋-GB2312" w:eastAsia="CESI仿宋-GB2312" w:cs="CESI仿宋-GB2312"/>
                <w:color w:val="auto"/>
                <w:sz w:val="21"/>
                <w:szCs w:val="21"/>
                <w:lang w:val="en-US" w:eastAsia="zh-CN"/>
              </w:rPr>
              <w:t>3分</w:t>
            </w:r>
            <w:r>
              <w:rPr>
                <w:rFonts w:hint="eastAsia" w:ascii="CESI仿宋-GB2312" w:hAnsi="CESI仿宋-GB2312" w:eastAsia="CESI仿宋-GB2312" w:cs="CESI仿宋-GB2312"/>
                <w:color w:val="auto"/>
                <w:sz w:val="21"/>
                <w:szCs w:val="21"/>
              </w:rPr>
              <w:t>。</w:t>
            </w:r>
          </w:p>
          <w:p>
            <w:pPr>
              <w:jc w:val="left"/>
              <w:rPr>
                <w:rFonts w:hint="eastAsia" w:ascii="CESI仿宋-GB2312" w:hAnsi="CESI仿宋-GB2312" w:eastAsia="CESI仿宋-GB2312" w:cs="CESI仿宋-GB2312"/>
                <w:color w:val="auto"/>
                <w:sz w:val="21"/>
                <w:szCs w:val="21"/>
                <w:u w:val="none"/>
              </w:rPr>
            </w:pPr>
            <w:r>
              <w:rPr>
                <w:rFonts w:hint="eastAsia" w:ascii="CESI仿宋-GB2312" w:hAnsi="CESI仿宋-GB2312" w:eastAsia="CESI仿宋-GB2312" w:cs="CESI仿宋-GB2312"/>
                <w:color w:val="auto"/>
                <w:sz w:val="21"/>
                <w:szCs w:val="21"/>
              </w:rPr>
              <w:t>要求提供承诺（格式自定）作为得分依据，未提供承诺或承诺内容不满足要求不</w:t>
            </w:r>
            <w:r>
              <w:rPr>
                <w:rFonts w:hint="eastAsia" w:ascii="CESI仿宋-GB2312" w:hAnsi="CESI仿宋-GB2312" w:eastAsia="CESI仿宋-GB2312" w:cs="CESI仿宋-GB2312"/>
                <w:color w:val="auto"/>
                <w:sz w:val="21"/>
                <w:szCs w:val="21"/>
                <w:u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 w:val="21"/>
                <w:szCs w:val="21"/>
                <w:lang w:eastAsia="zh-CN"/>
              </w:rPr>
            </w:pPr>
            <w:r>
              <w:rPr>
                <w:rFonts w:hint="eastAsia" w:ascii="CESI仿宋-GB2312" w:hAnsi="CESI仿宋-GB2312" w:eastAsia="CESI仿宋-GB2312" w:cs="CESI仿宋-GB2312"/>
                <w:b/>
                <w:color w:val="auto"/>
                <w:sz w:val="21"/>
                <w:szCs w:val="21"/>
                <w:lang w:val="en-US" w:eastAsia="zh-CN"/>
              </w:rPr>
              <w:t>4</w:t>
            </w:r>
          </w:p>
        </w:tc>
        <w:tc>
          <w:tcPr>
            <w:tcW w:w="298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诚信情况</w:t>
            </w:r>
          </w:p>
        </w:tc>
        <w:tc>
          <w:tcPr>
            <w:tcW w:w="595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 w:val="21"/>
                <w:szCs w:val="21"/>
                <w:lang w:eastAsia="zh-CN"/>
              </w:rPr>
            </w:pPr>
            <w:r>
              <w:rPr>
                <w:rFonts w:hint="eastAsia" w:ascii="CESI仿宋-GB2312" w:hAnsi="CESI仿宋-GB2312" w:eastAsia="CESI仿宋-GB2312" w:cs="CESI仿宋-GB2312"/>
                <w:b/>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restart"/>
            <w:tcBorders>
              <w:top w:val="single" w:color="auto" w:sz="4" w:space="0"/>
              <w:left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行号</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内容</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权重</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b/>
                <w:color w:val="auto"/>
                <w:sz w:val="21"/>
                <w:szCs w:val="21"/>
              </w:rPr>
            </w:pPr>
            <w:r>
              <w:rPr>
                <w:rFonts w:hint="eastAsia" w:ascii="CESI仿宋-GB2312" w:hAnsi="CESI仿宋-GB2312" w:eastAsia="CESI仿宋-GB2312" w:cs="CESI仿宋-GB2312"/>
                <w:b/>
                <w:color w:val="auto"/>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22" w:type="dxa"/>
            <w:vMerge w:val="continue"/>
            <w:tcBorders>
              <w:left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1"/>
                <w:szCs w:val="21"/>
              </w:rPr>
            </w:pPr>
          </w:p>
        </w:tc>
        <w:tc>
          <w:tcPr>
            <w:tcW w:w="6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1</w:t>
            </w:r>
          </w:p>
        </w:tc>
        <w:tc>
          <w:tcPr>
            <w:tcW w:w="15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rPr>
              <w:t>诚信管理情况</w:t>
            </w:r>
          </w:p>
        </w:tc>
        <w:tc>
          <w:tcPr>
            <w:tcW w:w="79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color w:val="auto"/>
                <w:sz w:val="21"/>
                <w:szCs w:val="21"/>
                <w:lang w:val="en-US" w:eastAsia="zh-CN"/>
              </w:rPr>
              <w:t>5</w:t>
            </w:r>
          </w:p>
        </w:tc>
        <w:tc>
          <w:tcPr>
            <w:tcW w:w="595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CESI仿宋-GB2312" w:hAnsi="CESI仿宋-GB2312" w:eastAsia="CESI仿宋-GB2312" w:cs="CESI仿宋-GB2312"/>
                <w:szCs w:val="21"/>
                <w:lang w:val="en-US" w:eastAsia="zh-CN"/>
              </w:rPr>
              <w:t>5</w:t>
            </w:r>
            <w:r>
              <w:rPr>
                <w:rFonts w:hint="eastAsia" w:ascii="CESI仿宋-GB2312" w:hAnsi="CESI仿宋-GB2312" w:eastAsia="CESI仿宋-GB2312" w:cs="CESI仿宋-GB2312"/>
                <w:szCs w:val="21"/>
              </w:rPr>
              <w:t>分。</w:t>
            </w:r>
          </w:p>
          <w:p>
            <w:pPr>
              <w:rPr>
                <w:rFonts w:hint="eastAsia" w:ascii="CESI仿宋-GB2312" w:hAnsi="CESI仿宋-GB2312" w:eastAsia="CESI仿宋-GB2312" w:cs="CESI仿宋-GB2312"/>
                <w:color w:val="auto"/>
                <w:sz w:val="21"/>
                <w:szCs w:val="21"/>
              </w:rPr>
            </w:pPr>
            <w:r>
              <w:rPr>
                <w:rFonts w:hint="eastAsia" w:ascii="CESI仿宋-GB2312" w:hAnsi="CESI仿宋-GB2312" w:eastAsia="CESI仿宋-GB2312" w:cs="CESI仿宋-GB2312"/>
                <w:b/>
                <w:bCs/>
                <w:kern w:val="0"/>
                <w:szCs w:val="21"/>
              </w:rPr>
              <w:t>（采购代理机构通过“信用中国”、“中国政府采购网”、“深圳市政府采购监管网”以及市、区财政部门认定的其他渠道查询供应商信用信息，投标人无需提供证明材料。）</w:t>
            </w:r>
          </w:p>
        </w:tc>
      </w:tr>
    </w:tbl>
    <w:p>
      <w:pPr>
        <w:pStyle w:val="7"/>
        <w:jc w:val="both"/>
        <w:rPr>
          <w:rFonts w:hint="eastAsia"/>
          <w:color w:val="auto"/>
          <w:highlight w:val="none"/>
          <w:lang w:eastAsia="zh-CN"/>
        </w:rPr>
      </w:pPr>
    </w:p>
    <w:p>
      <w:pPr>
        <w:spacing w:line="500" w:lineRule="exact"/>
        <w:ind w:firstLine="0" w:firstLineChars="0"/>
        <w:jc w:val="left"/>
        <w:rPr>
          <w:rFonts w:hint="eastAsia" w:ascii="仿宋_GB2312" w:hAnsi="仿宋" w:eastAsia="仿宋_GB2312" w:cstheme="minorBidi"/>
          <w:bCs w:val="0"/>
          <w:color w:val="auto"/>
          <w:kern w:val="2"/>
          <w:sz w:val="30"/>
          <w:szCs w:val="30"/>
          <w:highlight w:val="none"/>
          <w:lang w:val="en-US" w:eastAsia="zh-CN"/>
        </w:rPr>
      </w:pPr>
      <w:r>
        <w:rPr>
          <w:rFonts w:hint="eastAsia" w:ascii="仿宋_GB2312" w:hAnsi="仿宋" w:eastAsia="仿宋_GB2312" w:cstheme="minorBidi"/>
          <w:bCs w:val="0"/>
          <w:color w:val="auto"/>
          <w:kern w:val="2"/>
          <w:sz w:val="30"/>
          <w:szCs w:val="30"/>
          <w:highlight w:val="none"/>
          <w:lang w:eastAsia="zh-CN"/>
        </w:rPr>
        <w:t>附件</w:t>
      </w:r>
      <w:r>
        <w:rPr>
          <w:rFonts w:hint="eastAsia" w:ascii="仿宋_GB2312" w:hAnsi="仿宋" w:eastAsia="仿宋_GB2312" w:cstheme="minorBidi"/>
          <w:bCs w:val="0"/>
          <w:color w:val="auto"/>
          <w:kern w:val="2"/>
          <w:sz w:val="30"/>
          <w:szCs w:val="30"/>
          <w:highlight w:val="none"/>
          <w:lang w:val="en-US" w:eastAsia="zh-CN"/>
        </w:rPr>
        <w:t>1</w:t>
      </w:r>
    </w:p>
    <w:p>
      <w:pPr>
        <w:spacing w:line="360" w:lineRule="auto"/>
        <w:jc w:val="center"/>
        <w:rPr>
          <w:rFonts w:ascii="方正小标宋简体" w:hAnsi="黑体" w:eastAsia="方正小标宋简体" w:cs="黑体"/>
          <w:color w:val="auto"/>
          <w:sz w:val="30"/>
          <w:szCs w:val="30"/>
          <w:highlight w:val="none"/>
        </w:rPr>
      </w:pPr>
      <w:r>
        <w:rPr>
          <w:rFonts w:hint="eastAsia" w:ascii="方正小标宋简体" w:hAnsi="黑体" w:eastAsia="方正小标宋简体" w:cs="黑体"/>
          <w:bCs/>
          <w:color w:val="auto"/>
          <w:kern w:val="0"/>
          <w:sz w:val="30"/>
          <w:szCs w:val="30"/>
          <w:highlight w:val="none"/>
        </w:rPr>
        <w:t>政府采购投标及履约承诺函</w:t>
      </w:r>
    </w:p>
    <w:p>
      <w:pPr>
        <w:spacing w:line="500" w:lineRule="exact"/>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深圳市规划和自然资源局</w:t>
      </w:r>
      <w:r>
        <w:rPr>
          <w:rFonts w:hint="eastAsia" w:ascii="仿宋_GB2312" w:hAnsi="仿宋" w:eastAsia="仿宋_GB2312"/>
          <w:color w:val="auto"/>
          <w:sz w:val="30"/>
          <w:szCs w:val="30"/>
          <w:highlight w:val="none"/>
          <w:lang w:eastAsia="zh-CN"/>
        </w:rPr>
        <w:t>南山</w:t>
      </w:r>
      <w:r>
        <w:rPr>
          <w:rFonts w:hint="eastAsia" w:ascii="仿宋_GB2312" w:hAnsi="仿宋" w:eastAsia="仿宋_GB2312"/>
          <w:color w:val="auto"/>
          <w:sz w:val="30"/>
          <w:szCs w:val="30"/>
          <w:highlight w:val="none"/>
        </w:rPr>
        <w:t>管理局：</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我单位深知本项目对贵局的重要性和紧迫性，亦了解贵局对廉政建设的相关要求，因此我单位承诺如下：</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1.我单位本招标项目所提供的货物或服务未侵犯知识产权。</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2.我单位参与本项目投标前三年内，在经营活动中没有违法记录。</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3.我单位参与本项目政府采购活动时不存在被有关部门禁止参与政府采购活动且在有效期内的情况。</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4.我单位具备《中华人民共和国政府采购法》第二十二条第一款的条件。</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5.我单位未被列入失信被执行人、税收违法案件当事人名单、政府采购严重违法失信行为记录名单。</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7.我单位如果中标，做到诚实守信，依照本项目招标文件需求内容、签署的采购合同及本单位在投标中所作的一切承诺履约。</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做出的行政处罚。</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10.我单位承诺不非法转包、分包。</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11.我单位承诺未参与本项目的采购需求、技术指标、商务指标等内容的设定，不存在对其他投标单位不公平的行为。</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12.我单位承诺不对采购人进行贿赂，进行有偿报答。</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13.我单位承诺不对采购人进行任何形式的利益输送。</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14.我单位承诺不对采购人进行宴请和娱乐等消费活动。</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15.我单位承诺不对采购人进行赠送各种礼品、现金、有价证券、中介费、好处费等行为。</w:t>
      </w:r>
    </w:p>
    <w:p>
      <w:pPr>
        <w:spacing w:line="50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以上承诺，如有违反，愿依照国家相关法律处理，并承担由此给采购人带来的损失。</w:t>
      </w:r>
    </w:p>
    <w:p>
      <w:pPr>
        <w:spacing w:line="500" w:lineRule="exact"/>
        <w:rPr>
          <w:rFonts w:ascii="仿宋_GB2312" w:hAnsi="仿宋" w:eastAsia="仿宋_GB2312"/>
          <w:color w:val="auto"/>
          <w:sz w:val="30"/>
          <w:szCs w:val="30"/>
          <w:highlight w:val="none"/>
        </w:rPr>
      </w:pPr>
    </w:p>
    <w:p>
      <w:pPr>
        <w:spacing w:line="500" w:lineRule="exact"/>
        <w:rPr>
          <w:rFonts w:ascii="仿宋_GB2312" w:hAnsi="仿宋" w:eastAsia="仿宋_GB2312"/>
          <w:color w:val="auto"/>
          <w:sz w:val="30"/>
          <w:szCs w:val="30"/>
          <w:highlight w:val="none"/>
        </w:rPr>
      </w:pPr>
    </w:p>
    <w:p>
      <w:pPr>
        <w:spacing w:line="500" w:lineRule="exact"/>
        <w:ind w:firstLine="600" w:firstLineChars="200"/>
        <w:jc w:val="center"/>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承诺单位：</w:t>
      </w:r>
    </w:p>
    <w:p>
      <w:pPr>
        <w:spacing w:line="500" w:lineRule="exact"/>
        <w:ind w:firstLine="600" w:firstLineChars="200"/>
        <w:jc w:val="center"/>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                           （盖章）</w:t>
      </w:r>
    </w:p>
    <w:p>
      <w:pPr>
        <w:spacing w:line="500" w:lineRule="exact"/>
        <w:ind w:firstLine="600" w:firstLineChars="200"/>
        <w:jc w:val="left"/>
        <w:rPr>
          <w:rFonts w:ascii="宋体" w:hAnsi="宋体"/>
          <w:b/>
          <w:color w:val="auto"/>
          <w:sz w:val="30"/>
          <w:szCs w:val="30"/>
          <w:highlight w:val="none"/>
        </w:rPr>
      </w:pPr>
      <w:r>
        <w:rPr>
          <w:rFonts w:hint="eastAsia" w:ascii="仿宋_GB2312" w:hAnsi="仿宋" w:eastAsia="仿宋_GB2312"/>
          <w:color w:val="auto"/>
          <w:sz w:val="30"/>
          <w:szCs w:val="30"/>
          <w:highlight w:val="none"/>
        </w:rPr>
        <w:t xml:space="preserve">                                年   月   日</w:t>
      </w:r>
    </w:p>
    <w:p>
      <w:pPr>
        <w:spacing w:before="120" w:after="120" w:line="500" w:lineRule="exact"/>
        <w:jc w:val="left"/>
        <w:rPr>
          <w:rFonts w:hint="eastAsia" w:ascii="仿宋_GB2312" w:hAnsi="仿宋" w:eastAsia="仿宋_GB2312" w:cstheme="minorBidi"/>
          <w:bCs w:val="0"/>
          <w:color w:val="auto"/>
          <w:kern w:val="2"/>
          <w:sz w:val="30"/>
          <w:szCs w:val="30"/>
          <w:highlight w:val="none"/>
          <w:lang w:eastAsia="zh-CN"/>
        </w:rPr>
      </w:pPr>
    </w:p>
    <w:p>
      <w:pPr>
        <w:spacing w:before="120" w:after="120" w:line="500" w:lineRule="exact"/>
        <w:jc w:val="left"/>
        <w:rPr>
          <w:rFonts w:hint="eastAsia" w:ascii="方正小标宋简体" w:hAnsi="黑体" w:eastAsia="方正小标宋简体" w:cs="黑体"/>
          <w:b w:val="0"/>
          <w:bCs/>
          <w:color w:val="auto"/>
          <w:kern w:val="0"/>
          <w:sz w:val="30"/>
          <w:szCs w:val="30"/>
          <w:highlight w:val="none"/>
          <w:lang w:val="en-US" w:eastAsia="zh-CN" w:bidi="ar-SA"/>
        </w:rPr>
      </w:pPr>
      <w:r>
        <w:rPr>
          <w:rFonts w:hint="eastAsia" w:ascii="仿宋_GB2312" w:hAnsi="仿宋" w:eastAsia="仿宋_GB2312" w:cstheme="minorBidi"/>
          <w:bCs w:val="0"/>
          <w:color w:val="auto"/>
          <w:kern w:val="2"/>
          <w:sz w:val="30"/>
          <w:szCs w:val="30"/>
          <w:highlight w:val="none"/>
          <w:lang w:eastAsia="zh-CN"/>
        </w:rPr>
        <w:t>附件</w:t>
      </w:r>
      <w:r>
        <w:rPr>
          <w:rFonts w:hint="eastAsia" w:ascii="仿宋_GB2312" w:hAnsi="仿宋" w:eastAsia="仿宋_GB2312" w:cstheme="minorBidi"/>
          <w:bCs w:val="0"/>
          <w:color w:val="auto"/>
          <w:kern w:val="2"/>
          <w:sz w:val="30"/>
          <w:szCs w:val="30"/>
          <w:highlight w:val="none"/>
          <w:lang w:val="en-US" w:eastAsia="zh-CN"/>
        </w:rPr>
        <w:t>2</w:t>
      </w:r>
    </w:p>
    <w:p>
      <w:pPr>
        <w:pStyle w:val="4"/>
        <w:spacing w:before="120" w:after="120"/>
        <w:jc w:val="center"/>
        <w:rPr>
          <w:rFonts w:hint="eastAsia" w:ascii="方正小标宋简体" w:hAnsi="黑体" w:eastAsia="方正小标宋简体" w:cs="黑体"/>
          <w:b w:val="0"/>
          <w:bCs/>
          <w:color w:val="auto"/>
          <w:kern w:val="0"/>
          <w:sz w:val="30"/>
          <w:szCs w:val="30"/>
          <w:highlight w:val="none"/>
          <w:lang w:val="en-US" w:eastAsia="zh-CN" w:bidi="ar-SA"/>
        </w:rPr>
      </w:pPr>
      <w:r>
        <w:rPr>
          <w:rFonts w:hint="eastAsia" w:ascii="方正小标宋简体" w:hAnsi="黑体" w:eastAsia="方正小标宋简体" w:cs="黑体"/>
          <w:b w:val="0"/>
          <w:bCs/>
          <w:color w:val="auto"/>
          <w:kern w:val="0"/>
          <w:sz w:val="30"/>
          <w:szCs w:val="30"/>
          <w:highlight w:val="none"/>
          <w:lang w:val="en-US" w:eastAsia="zh-CN" w:bidi="ar-SA"/>
        </w:rPr>
        <w:t>政府采购违法行为风险知悉确认书</w:t>
      </w:r>
    </w:p>
    <w:p>
      <w:pPr>
        <w:rPr>
          <w:color w:val="auto"/>
          <w:sz w:val="30"/>
          <w:szCs w:val="30"/>
          <w:highlight w:val="none"/>
        </w:rPr>
      </w:pPr>
    </w:p>
    <w:p>
      <w:pPr>
        <w:rPr>
          <w:color w:val="auto"/>
          <w:sz w:val="30"/>
          <w:szCs w:val="30"/>
          <w:highlight w:val="none"/>
        </w:rPr>
      </w:pPr>
      <w:r>
        <w:rPr>
          <w:rFonts w:hint="eastAsia" w:ascii="仿宋_GB2312" w:hAnsi="仿宋" w:eastAsia="仿宋_GB2312"/>
          <w:color w:val="auto"/>
          <w:sz w:val="30"/>
          <w:szCs w:val="30"/>
          <w:highlight w:val="none"/>
        </w:rPr>
        <w:t>深圳市规划和自然资源局</w:t>
      </w:r>
      <w:r>
        <w:rPr>
          <w:rFonts w:hint="eastAsia" w:ascii="仿宋_GB2312" w:hAnsi="仿宋" w:eastAsia="仿宋_GB2312"/>
          <w:color w:val="auto"/>
          <w:sz w:val="30"/>
          <w:szCs w:val="30"/>
          <w:highlight w:val="none"/>
          <w:lang w:eastAsia="zh-CN"/>
        </w:rPr>
        <w:t>南山</w:t>
      </w:r>
      <w:r>
        <w:rPr>
          <w:rFonts w:hint="eastAsia" w:ascii="仿宋_GB2312" w:hAnsi="仿宋" w:eastAsia="仿宋_GB2312"/>
          <w:color w:val="auto"/>
          <w:sz w:val="30"/>
          <w:szCs w:val="30"/>
          <w:highlight w:val="none"/>
        </w:rPr>
        <w:t>管理局：</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本公司在投标前已充分知悉以下情形为参与政府采购活动时的重大风险事项，并承诺已对下述风险提示事项重点排查，做到严谨、诚信、依法依规参与政府采购活动。</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一、本公司已充分知悉“隐瞒真实情况，提供虚假资料”的法定情形，相关情形包括但不限于：</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（一）通过转让或者租借等方式从其他单位获取资格或者资质证书投标的。</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（二）由其他单位或者其他单位负责人在投标供应商编制的投标文件上加盖印章或者签字的。</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（三）项目负责人或者主要技术人员不是本单位人员的。</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（四）投标保证金不是从投标供应商基本账户转出的。</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（五）其他隐瞒真实情况、提供虚假资料的行为。</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二、本公司已充分知悉“与其他采购参加人串通投标”的法定情形，相关情形包括但不限于：</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（一）投标供应商之间相互约定给予未中标的供应商利益补偿。 </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（二）不同投标供应商的法定代表人、主要经营负责人、项目投标授权代表人、项目负责人、主要技术人员为同一人、属同一单位或者在同一单位缴纳社会保险。</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（三）不同投标供应商的投标文件由同一单位或者同一人编制，或者由同一人分阶段参与编制的。</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（四）不同投标供应商的投标文件或部分投标文件相互混装。</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（五）不同投标供应商的投标文件内容存在非正常一致。</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（六）由同一单位工作人员为两家以上（含两家）供应商进行同一项投标活动的。</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（七）不同投标人的投标报价呈规律性差异。</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（八）不同投标人的投标保证金从同一单位或者个人的账户转出。</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（九）主管部门依照法律、法规认定的其他情形。</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三、本公司已充分知悉下列情形所对应的法律风险，并在投标前已对相关风险事项进行排查。</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（三）对于涉及安全生产、特种作业、抢险救灾、防疫等政府采购项目，供应商实施提供虚假资料、串通投标等违法行为的，主管部门将依法从严处理。 </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以下文字请投标供应商抄写并确认：“本公司已仔细阅读《政府采购违法行为风险知悉确认书》，充分知悉违法行为的法律后果，并承诺将严谨、诚信、依法依规参与政府采购活动”。</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                                                    </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                                                    </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                                                  </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                    负责人/投标授权代表签名：</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知悉人（公章）：</w:t>
      </w:r>
    </w:p>
    <w:p>
      <w:pPr>
        <w:spacing w:line="50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                    日期：</w:t>
      </w:r>
    </w:p>
    <w:p>
      <w:pPr>
        <w:spacing w:line="500" w:lineRule="exact"/>
        <w:ind w:firstLine="600" w:firstLineChars="200"/>
        <w:rPr>
          <w:rFonts w:hint="eastAsia" w:ascii="仿宋_GB2312" w:hAnsi="仿宋" w:eastAsia="仿宋_GB2312"/>
          <w:color w:val="auto"/>
          <w:sz w:val="30"/>
          <w:szCs w:val="30"/>
          <w:highlight w:val="none"/>
        </w:rPr>
      </w:pPr>
    </w:p>
    <w:p>
      <w:pPr>
        <w:rPr>
          <w:color w:val="auto"/>
          <w:sz w:val="30"/>
          <w:szCs w:val="3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25830"/>
    <w:multiLevelType w:val="multilevel"/>
    <w:tmpl w:val="3A32583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8DE"/>
    <w:rsid w:val="00075CF5"/>
    <w:rsid w:val="00083997"/>
    <w:rsid w:val="00093838"/>
    <w:rsid w:val="00097DE4"/>
    <w:rsid w:val="000B7341"/>
    <w:rsid w:val="000C4310"/>
    <w:rsid w:val="0010249F"/>
    <w:rsid w:val="00171D7D"/>
    <w:rsid w:val="0017380E"/>
    <w:rsid w:val="00180D71"/>
    <w:rsid w:val="00187C03"/>
    <w:rsid w:val="001D52E2"/>
    <w:rsid w:val="001F1BBD"/>
    <w:rsid w:val="00252153"/>
    <w:rsid w:val="002777C9"/>
    <w:rsid w:val="003344B5"/>
    <w:rsid w:val="0034634A"/>
    <w:rsid w:val="003D47D8"/>
    <w:rsid w:val="003E2079"/>
    <w:rsid w:val="003E52F2"/>
    <w:rsid w:val="003F383F"/>
    <w:rsid w:val="00416B5E"/>
    <w:rsid w:val="004268DE"/>
    <w:rsid w:val="00515782"/>
    <w:rsid w:val="00560FF4"/>
    <w:rsid w:val="0056259B"/>
    <w:rsid w:val="005C5EB4"/>
    <w:rsid w:val="00626B0B"/>
    <w:rsid w:val="00666E29"/>
    <w:rsid w:val="0068113E"/>
    <w:rsid w:val="006C7BF5"/>
    <w:rsid w:val="006D2DBE"/>
    <w:rsid w:val="006D3487"/>
    <w:rsid w:val="006E3C97"/>
    <w:rsid w:val="00700A82"/>
    <w:rsid w:val="00714078"/>
    <w:rsid w:val="00723BDE"/>
    <w:rsid w:val="007841D0"/>
    <w:rsid w:val="007D6403"/>
    <w:rsid w:val="008252DD"/>
    <w:rsid w:val="00837DBB"/>
    <w:rsid w:val="008B7535"/>
    <w:rsid w:val="008C4A8D"/>
    <w:rsid w:val="008E0F24"/>
    <w:rsid w:val="009C5C77"/>
    <w:rsid w:val="009E084A"/>
    <w:rsid w:val="009E0EBB"/>
    <w:rsid w:val="00A041B7"/>
    <w:rsid w:val="00A22714"/>
    <w:rsid w:val="00A339B1"/>
    <w:rsid w:val="00A602BA"/>
    <w:rsid w:val="00A7041E"/>
    <w:rsid w:val="00AB1FDF"/>
    <w:rsid w:val="00AC1EA2"/>
    <w:rsid w:val="00B001BC"/>
    <w:rsid w:val="00B00618"/>
    <w:rsid w:val="00B536A4"/>
    <w:rsid w:val="00BC42D2"/>
    <w:rsid w:val="00C21293"/>
    <w:rsid w:val="00C332CC"/>
    <w:rsid w:val="00C54143"/>
    <w:rsid w:val="00C64E42"/>
    <w:rsid w:val="00CA67E0"/>
    <w:rsid w:val="00CF404A"/>
    <w:rsid w:val="00D45A50"/>
    <w:rsid w:val="00D7548D"/>
    <w:rsid w:val="00D77038"/>
    <w:rsid w:val="00DC0947"/>
    <w:rsid w:val="00E322C0"/>
    <w:rsid w:val="00E6126B"/>
    <w:rsid w:val="00ED07F5"/>
    <w:rsid w:val="00ED0AFE"/>
    <w:rsid w:val="00F87F07"/>
    <w:rsid w:val="00F96AD0"/>
    <w:rsid w:val="00FA2042"/>
    <w:rsid w:val="00FD7D3A"/>
    <w:rsid w:val="00FE5850"/>
    <w:rsid w:val="1BF5C372"/>
    <w:rsid w:val="1FB35963"/>
    <w:rsid w:val="29F7660F"/>
    <w:rsid w:val="2B3F4E90"/>
    <w:rsid w:val="2DD7D16B"/>
    <w:rsid w:val="2FD61229"/>
    <w:rsid w:val="2FEE5815"/>
    <w:rsid w:val="32DFF978"/>
    <w:rsid w:val="34E96C6C"/>
    <w:rsid w:val="37FB8C99"/>
    <w:rsid w:val="37FEAADB"/>
    <w:rsid w:val="3A172381"/>
    <w:rsid w:val="3DC7AB8E"/>
    <w:rsid w:val="3DF27292"/>
    <w:rsid w:val="3F7DEC26"/>
    <w:rsid w:val="3F7F4904"/>
    <w:rsid w:val="3FE96425"/>
    <w:rsid w:val="3FF9C6C4"/>
    <w:rsid w:val="491A467D"/>
    <w:rsid w:val="4B5EE1A6"/>
    <w:rsid w:val="4D2D54C8"/>
    <w:rsid w:val="4F7B7F95"/>
    <w:rsid w:val="586F793C"/>
    <w:rsid w:val="5CF942D1"/>
    <w:rsid w:val="5F2AEF71"/>
    <w:rsid w:val="5F37DF82"/>
    <w:rsid w:val="5F7BC7D5"/>
    <w:rsid w:val="5F8B0611"/>
    <w:rsid w:val="67BFE4D8"/>
    <w:rsid w:val="6BD4C0EF"/>
    <w:rsid w:val="6DDFF168"/>
    <w:rsid w:val="6FB73785"/>
    <w:rsid w:val="6FFF08F5"/>
    <w:rsid w:val="6FFF1914"/>
    <w:rsid w:val="71FFBB77"/>
    <w:rsid w:val="756E5082"/>
    <w:rsid w:val="757A2D23"/>
    <w:rsid w:val="77B6975C"/>
    <w:rsid w:val="7B95B465"/>
    <w:rsid w:val="7BBF33A5"/>
    <w:rsid w:val="7BFB45DA"/>
    <w:rsid w:val="7CD7537B"/>
    <w:rsid w:val="7D96C19E"/>
    <w:rsid w:val="7DBDB209"/>
    <w:rsid w:val="7E5DAAE6"/>
    <w:rsid w:val="7EDD1EE6"/>
    <w:rsid w:val="7EFE9FFD"/>
    <w:rsid w:val="7F6E0076"/>
    <w:rsid w:val="7F709F3C"/>
    <w:rsid w:val="7FBB24A8"/>
    <w:rsid w:val="7FEBB1BB"/>
    <w:rsid w:val="7FED1820"/>
    <w:rsid w:val="7FF729C6"/>
    <w:rsid w:val="7FFB7E72"/>
    <w:rsid w:val="7FFF2D62"/>
    <w:rsid w:val="887FECC9"/>
    <w:rsid w:val="9FEE0999"/>
    <w:rsid w:val="9FFF534A"/>
    <w:rsid w:val="A7F3DB37"/>
    <w:rsid w:val="A9FB0A83"/>
    <w:rsid w:val="AEBA60AF"/>
    <w:rsid w:val="AEF7EF08"/>
    <w:rsid w:val="AF5E4906"/>
    <w:rsid w:val="AFDB6D81"/>
    <w:rsid w:val="AFFF4D7C"/>
    <w:rsid w:val="B3FEBE7D"/>
    <w:rsid w:val="B776216D"/>
    <w:rsid w:val="B7B5068B"/>
    <w:rsid w:val="BA6B5CE6"/>
    <w:rsid w:val="BBED124E"/>
    <w:rsid w:val="BDDFF380"/>
    <w:rsid w:val="CB5EEEE2"/>
    <w:rsid w:val="CDBD2E48"/>
    <w:rsid w:val="D3EF3EC0"/>
    <w:rsid w:val="D5F69CCF"/>
    <w:rsid w:val="D7F6C7C5"/>
    <w:rsid w:val="DBFF131A"/>
    <w:rsid w:val="DDD778A8"/>
    <w:rsid w:val="DDFF362F"/>
    <w:rsid w:val="DE6E8D07"/>
    <w:rsid w:val="DF5A652D"/>
    <w:rsid w:val="DF6F78F2"/>
    <w:rsid w:val="DFFFCCAF"/>
    <w:rsid w:val="E1F20848"/>
    <w:rsid w:val="EECF37BB"/>
    <w:rsid w:val="F0DFB4DE"/>
    <w:rsid w:val="F5E57F59"/>
    <w:rsid w:val="F97D7ED7"/>
    <w:rsid w:val="FBB56118"/>
    <w:rsid w:val="FBBDEED5"/>
    <w:rsid w:val="FBBE9882"/>
    <w:rsid w:val="FBDB0339"/>
    <w:rsid w:val="FEBF44A1"/>
    <w:rsid w:val="FEF7380E"/>
    <w:rsid w:val="FF3DF391"/>
    <w:rsid w:val="FF49C7F2"/>
    <w:rsid w:val="FF7B4B7E"/>
    <w:rsid w:val="FFDDE900"/>
    <w:rsid w:val="FFEB74D9"/>
    <w:rsid w:val="FFF5EC49"/>
    <w:rsid w:val="FFFDB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3"/>
    <w:basedOn w:val="1"/>
    <w:next w:val="1"/>
    <w:qFormat/>
    <w:uiPriority w:val="9"/>
    <w:pPr>
      <w:keepNext/>
      <w:keepLines/>
      <w:spacing w:before="260" w:after="260" w:line="416" w:lineRule="auto"/>
      <w:outlineLvl w:val="2"/>
    </w:pPr>
    <w:rPr>
      <w:b/>
      <w:bCs/>
      <w:kern w:val="0"/>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99"/>
    <w:rPr>
      <w:rFonts w:ascii="Times New Roman" w:hAnsi="Times New Roman" w:eastAsia="宋体" w:cs="Times New Roman"/>
      <w:sz w:val="21"/>
      <w:lang w:val="en-US" w:eastAsia="zh-CN" w:bidi="ar-SA"/>
    </w:rPr>
  </w:style>
  <w:style w:type="paragraph" w:styleId="5">
    <w:name w:val="Normal Indent"/>
    <w:basedOn w:val="1"/>
    <w:next w:val="6"/>
    <w:link w:val="17"/>
    <w:qFormat/>
    <w:uiPriority w:val="0"/>
    <w:pPr>
      <w:widowControl/>
      <w:ind w:firstLine="420" w:firstLineChars="200"/>
      <w:jc w:val="left"/>
    </w:pPr>
    <w:rPr>
      <w:rFonts w:ascii="Times New Roman" w:hAnsi="Times New Roman" w:eastAsia="宋体" w:cs="Times New Roman"/>
      <w:szCs w:val="24"/>
    </w:rPr>
  </w:style>
  <w:style w:type="paragraph" w:styleId="6">
    <w:name w:val="Body Text"/>
    <w:basedOn w:val="1"/>
    <w:next w:val="7"/>
    <w:unhideWhenUsed/>
    <w:qFormat/>
    <w:uiPriority w:val="99"/>
    <w:pPr>
      <w:spacing w:after="120"/>
    </w:pPr>
    <w:rPr>
      <w:kern w:val="0"/>
      <w:sz w:val="20"/>
    </w:rPr>
  </w:style>
  <w:style w:type="paragraph" w:styleId="7">
    <w:name w:val="Title"/>
    <w:basedOn w:val="1"/>
    <w:next w:val="1"/>
    <w:qFormat/>
    <w:uiPriority w:val="0"/>
    <w:pPr>
      <w:spacing w:before="240" w:after="60"/>
      <w:jc w:val="center"/>
      <w:outlineLvl w:val="0"/>
    </w:pPr>
    <w:rPr>
      <w:rFonts w:ascii="Cambria" w:hAnsi="Cambria" w:eastAsia="宋体"/>
      <w:b/>
      <w:bCs/>
    </w:rPr>
  </w:style>
  <w:style w:type="paragraph" w:styleId="8">
    <w:name w:val="annotation text"/>
    <w:basedOn w:val="1"/>
    <w:semiHidden/>
    <w:unhideWhenUsed/>
    <w:qFormat/>
    <w:uiPriority w:val="99"/>
    <w:pPr>
      <w:jc w:val="left"/>
    </w:pPr>
  </w:style>
  <w:style w:type="paragraph" w:styleId="9">
    <w:name w:val="Balloon Text"/>
    <w:basedOn w:val="1"/>
    <w:link w:val="18"/>
    <w:semiHidden/>
    <w:unhideWhenUsed/>
    <w:qFormat/>
    <w:uiPriority w:val="99"/>
    <w:rPr>
      <w:sz w:val="18"/>
      <w:szCs w:val="18"/>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11"/>
    <w:qFormat/>
    <w:uiPriority w:val="99"/>
    <w:rPr>
      <w:sz w:val="18"/>
      <w:szCs w:val="18"/>
    </w:rPr>
  </w:style>
  <w:style w:type="character" w:customStyle="1" w:styleId="16">
    <w:name w:val="页脚 Char"/>
    <w:basedOn w:val="13"/>
    <w:link w:val="10"/>
    <w:qFormat/>
    <w:uiPriority w:val="99"/>
    <w:rPr>
      <w:sz w:val="18"/>
      <w:szCs w:val="18"/>
    </w:rPr>
  </w:style>
  <w:style w:type="character" w:customStyle="1" w:styleId="17">
    <w:name w:val="正文缩进 Char"/>
    <w:link w:val="5"/>
    <w:qFormat/>
    <w:uiPriority w:val="0"/>
    <w:rPr>
      <w:rFonts w:ascii="Times New Roman" w:hAnsi="Times New Roman" w:eastAsia="宋体" w:cs="Times New Roman"/>
      <w:szCs w:val="24"/>
    </w:rPr>
  </w:style>
  <w:style w:type="character" w:customStyle="1" w:styleId="18">
    <w:name w:val="批注框文本 Char"/>
    <w:basedOn w:val="13"/>
    <w:link w:val="9"/>
    <w:semiHidden/>
    <w:qFormat/>
    <w:uiPriority w:val="99"/>
    <w:rPr>
      <w:kern w:val="2"/>
      <w:sz w:val="18"/>
      <w:szCs w:val="18"/>
    </w:rPr>
  </w:style>
  <w:style w:type="paragraph" w:styleId="19">
    <w:name w:val="List Paragraph"/>
    <w:basedOn w:val="1"/>
    <w:qFormat/>
    <w:uiPriority w:val="34"/>
    <w:pPr>
      <w:ind w:firstLine="420" w:firstLineChars="200"/>
    </w:pPr>
  </w:style>
  <w:style w:type="paragraph" w:customStyle="1" w:styleId="20">
    <w:name w:val="表格"/>
    <w:basedOn w:val="1"/>
    <w:qFormat/>
    <w:uiPriority w:val="0"/>
    <w:pPr>
      <w:jc w:val="center"/>
    </w:pPr>
    <w:rPr>
      <w:rFonts w:hint="eastAsia" w:ascii="仿宋" w:hAnsi="仿宋" w:eastAsia="仿宋" w:cs="仿宋"/>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7923</Words>
  <Characters>8128</Characters>
  <Lines>44</Lines>
  <Paragraphs>12</Paragraphs>
  <TotalTime>0</TotalTime>
  <ScaleCrop>false</ScaleCrop>
  <LinksUpToDate>false</LinksUpToDate>
  <CharactersWithSpaces>8409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2021-12-09T07:28:00Z</dcterms:created>
  <dc:creator>崔晓杰</dc:creator>
  <cp:lastModifiedBy>市规土委南山局帐户</cp:lastModifiedBy>
  <cp:lastPrinted>2021-12-21T03:55:00Z</cp:lastPrinted>
  <dcterms:modified xsi:type="dcterms:W3CDTF">2025-01-20T11:47:37Z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2A25A1240A7B4DA0B29F5DDB79EF4E42_13</vt:lpwstr>
  </property>
  <property fmtid="{D5CDD505-2E9C-101B-9397-08002B2CF9AE}" pid="4" name="KSOTemplateDocerSaveRecord">
    <vt:lpwstr>eyJoZGlkIjoiNzAwOTRlOTA4Zjc0Zjk5MTVhMDIxNGZjYThmMzljZjgiLCJ1c2VySWQiOiI1NDE3NzEwMTMifQ==</vt:lpwstr>
  </property>
</Properties>
</file>