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val="0"/>
          <w:bCs/>
          <w:sz w:val="44"/>
          <w:szCs w:val="44"/>
          <w:highlight w:val="none"/>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202</w:t>
      </w:r>
      <w:r>
        <w:rPr>
          <w:rFonts w:hint="eastAsia" w:ascii="方正小标宋_GBK" w:hAnsi="方正小标宋_GBK" w:eastAsia="方正小标宋_GBK" w:cs="方正小标宋_GBK"/>
          <w:b w:val="0"/>
          <w:bCs/>
          <w:sz w:val="44"/>
          <w:szCs w:val="44"/>
          <w:highlight w:val="none"/>
          <w:lang w:val="en-US"/>
        </w:rPr>
        <w:t>5</w:t>
      </w:r>
      <w:r>
        <w:rPr>
          <w:rFonts w:hint="eastAsia" w:ascii="方正小标宋_GBK" w:hAnsi="方正小标宋_GBK" w:eastAsia="方正小标宋_GBK" w:cs="方正小标宋_GBK"/>
          <w:b w:val="0"/>
          <w:bCs/>
          <w:sz w:val="44"/>
          <w:szCs w:val="44"/>
          <w:highlight w:val="none"/>
        </w:rPr>
        <w:t>年度广东深圳华侨城国家湿地公园</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方正小标宋_GBK" w:eastAsia="方正小标宋_GBK" w:cs="方正小标宋_GBK"/>
          <w:b w:val="0"/>
          <w:bCs/>
          <w:sz w:val="44"/>
          <w:szCs w:val="44"/>
          <w:highlight w:val="none"/>
        </w:rPr>
      </w:pPr>
      <w:r>
        <w:rPr>
          <w:rFonts w:hint="eastAsia" w:ascii="方正小标宋_GBK" w:hAnsi="方正小标宋_GBK" w:eastAsia="方正小标宋_GBK" w:cs="方正小标宋_GBK"/>
          <w:b w:val="0"/>
          <w:bCs/>
          <w:sz w:val="44"/>
          <w:szCs w:val="44"/>
          <w:highlight w:val="none"/>
        </w:rPr>
        <w:t>水、鸟监测项目采购需求</w:t>
      </w:r>
    </w:p>
    <w:p>
      <w:pPr>
        <w:pStyle w:val="2"/>
        <w:rPr>
          <w:rFonts w:hint="eastAsia"/>
        </w:rPr>
      </w:pPr>
    </w:p>
    <w:tbl>
      <w:tblPr>
        <w:tblStyle w:val="10"/>
        <w:tblW w:w="8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540"/>
        <w:gridCol w:w="510"/>
        <w:gridCol w:w="1530"/>
        <w:gridCol w:w="600"/>
        <w:gridCol w:w="304"/>
        <w:gridCol w:w="1269"/>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83" w:type="dxa"/>
            <w:noWrap w:val="0"/>
            <w:vAlign w:val="center"/>
          </w:tcPr>
          <w:p>
            <w:pPr>
              <w:jc w:val="left"/>
              <w:rPr>
                <w:rFonts w:ascii="仿宋" w:hAnsi="仿宋" w:eastAsia="仿宋"/>
                <w:color w:val="auto"/>
                <w:szCs w:val="21"/>
                <w:highlight w:val="none"/>
              </w:rPr>
            </w:pPr>
            <w:r>
              <w:rPr>
                <w:rFonts w:ascii="仿宋" w:hAnsi="仿宋" w:eastAsia="仿宋"/>
                <w:b/>
                <w:color w:val="auto"/>
                <w:szCs w:val="21"/>
                <w:highlight w:val="none"/>
              </w:rPr>
              <w:t>*</w:t>
            </w:r>
            <w:r>
              <w:rPr>
                <w:rFonts w:ascii="仿宋" w:hAnsi="仿宋" w:eastAsia="仿宋"/>
                <w:color w:val="auto"/>
                <w:szCs w:val="21"/>
                <w:highlight w:val="none"/>
              </w:rPr>
              <w:t>项目名称</w:t>
            </w:r>
          </w:p>
        </w:tc>
        <w:tc>
          <w:tcPr>
            <w:tcW w:w="3484" w:type="dxa"/>
            <w:gridSpan w:val="5"/>
            <w:noWrap w:val="0"/>
            <w:vAlign w:val="center"/>
          </w:tcPr>
          <w:p>
            <w:pPr>
              <w:jc w:val="left"/>
              <w:rPr>
                <w:rFonts w:hint="default" w:ascii="仿宋" w:hAnsi="仿宋" w:eastAsia="仿宋"/>
                <w:color w:val="auto"/>
                <w:szCs w:val="21"/>
                <w:highlight w:val="none"/>
                <w:lang w:val="en-US" w:eastAsia="zh-CN"/>
              </w:rPr>
            </w:pPr>
            <w:r>
              <w:rPr>
                <w:rFonts w:hint="eastAsia" w:ascii="仿宋" w:hAnsi="仿宋" w:eastAsia="仿宋" w:cs="仿宋"/>
              </w:rPr>
              <w:t>202</w:t>
            </w:r>
            <w:r>
              <w:rPr>
                <w:rFonts w:hint="default" w:ascii="仿宋" w:hAnsi="仿宋" w:eastAsia="仿宋" w:cs="仿宋"/>
                <w:lang w:val="en-US"/>
              </w:rPr>
              <w:t>5</w:t>
            </w:r>
            <w:r>
              <w:rPr>
                <w:rFonts w:hint="eastAsia" w:ascii="仿宋" w:hAnsi="仿宋" w:eastAsia="仿宋" w:cs="仿宋"/>
              </w:rPr>
              <w:t>年度广东深圳华侨城国家湿地公园水、鸟监测</w:t>
            </w:r>
          </w:p>
        </w:tc>
        <w:tc>
          <w:tcPr>
            <w:tcW w:w="1269" w:type="dxa"/>
            <w:noWrap w:val="0"/>
            <w:vAlign w:val="center"/>
          </w:tcPr>
          <w:p>
            <w:pPr>
              <w:jc w:val="left"/>
              <w:rPr>
                <w:rFonts w:hint="eastAsia" w:ascii="仿宋" w:hAnsi="仿宋" w:eastAsia="仿宋" w:cs="仿宋"/>
                <w:lang w:val="en-US" w:eastAsia="zh-CN"/>
              </w:rPr>
            </w:pPr>
            <w:r>
              <w:rPr>
                <w:rFonts w:ascii="仿宋" w:hAnsi="仿宋" w:eastAsia="仿宋"/>
                <w:b/>
                <w:color w:val="auto"/>
                <w:szCs w:val="21"/>
                <w:highlight w:val="none"/>
              </w:rPr>
              <w:t>*</w:t>
            </w:r>
            <w:r>
              <w:rPr>
                <w:rFonts w:ascii="仿宋" w:hAnsi="仿宋" w:eastAsia="仿宋"/>
                <w:color w:val="auto"/>
                <w:szCs w:val="21"/>
                <w:highlight w:val="none"/>
              </w:rPr>
              <w:t>采购</w:t>
            </w:r>
            <w:r>
              <w:rPr>
                <w:rFonts w:hint="eastAsia" w:ascii="仿宋" w:hAnsi="仿宋" w:eastAsia="仿宋"/>
                <w:color w:val="auto"/>
                <w:szCs w:val="21"/>
                <w:highlight w:val="none"/>
                <w:lang w:val="en-US" w:eastAsia="zh-CN"/>
              </w:rPr>
              <w:t>类型</w:t>
            </w:r>
          </w:p>
        </w:tc>
        <w:tc>
          <w:tcPr>
            <w:tcW w:w="2207" w:type="dxa"/>
            <w:noWrap w:val="0"/>
            <w:vAlign w:val="center"/>
          </w:tcPr>
          <w:p>
            <w:pPr>
              <w:jc w:val="left"/>
              <w:rPr>
                <w:rFonts w:hint="eastAsia" w:ascii="仿宋" w:hAnsi="仿宋" w:eastAsia="仿宋" w:cs="仿宋"/>
                <w:lang w:val="en-US" w:eastAsia="zh-CN"/>
              </w:rPr>
            </w:pPr>
            <w:r>
              <w:rPr>
                <w:rFonts w:hint="eastAsia" w:ascii="仿宋" w:hAnsi="仿宋" w:eastAsia="仿宋" w:cs="仿宋"/>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3" w:type="dxa"/>
            <w:noWrap w:val="0"/>
            <w:vAlign w:val="center"/>
          </w:tcPr>
          <w:p>
            <w:pPr>
              <w:jc w:val="left"/>
              <w:rPr>
                <w:rFonts w:ascii="仿宋" w:hAnsi="仿宋" w:eastAsia="仿宋"/>
                <w:color w:val="auto"/>
                <w:szCs w:val="21"/>
                <w:highlight w:val="none"/>
              </w:rPr>
            </w:pPr>
            <w:r>
              <w:rPr>
                <w:rFonts w:ascii="仿宋" w:hAnsi="仿宋" w:eastAsia="仿宋"/>
                <w:b/>
                <w:color w:val="auto"/>
                <w:szCs w:val="21"/>
                <w:highlight w:val="none"/>
              </w:rPr>
              <w:t>*</w:t>
            </w:r>
            <w:r>
              <w:rPr>
                <w:rFonts w:ascii="仿宋" w:hAnsi="仿宋" w:eastAsia="仿宋"/>
                <w:color w:val="auto"/>
                <w:szCs w:val="21"/>
                <w:highlight w:val="none"/>
              </w:rPr>
              <w:t>采购人名称</w:t>
            </w:r>
          </w:p>
        </w:tc>
        <w:tc>
          <w:tcPr>
            <w:tcW w:w="3484" w:type="dxa"/>
            <w:gridSpan w:val="5"/>
            <w:noWrap w:val="0"/>
            <w:vAlign w:val="center"/>
          </w:tcPr>
          <w:p>
            <w:pPr>
              <w:jc w:val="left"/>
              <w:rPr>
                <w:rFonts w:ascii="仿宋" w:hAnsi="仿宋" w:eastAsia="仿宋"/>
                <w:color w:val="auto"/>
                <w:szCs w:val="21"/>
                <w:highlight w:val="none"/>
              </w:rPr>
            </w:pPr>
            <w:r>
              <w:rPr>
                <w:rFonts w:hint="eastAsia" w:ascii="仿宋" w:hAnsi="仿宋" w:eastAsia="仿宋"/>
                <w:color w:val="auto"/>
                <w:szCs w:val="21"/>
                <w:highlight w:val="none"/>
              </w:rPr>
              <w:t>深圳市野生动植物保护管理处</w:t>
            </w:r>
          </w:p>
        </w:tc>
        <w:tc>
          <w:tcPr>
            <w:tcW w:w="1269" w:type="dxa"/>
            <w:noWrap w:val="0"/>
            <w:vAlign w:val="center"/>
          </w:tcPr>
          <w:p>
            <w:pPr>
              <w:jc w:val="left"/>
              <w:rPr>
                <w:rFonts w:ascii="仿宋" w:hAnsi="仿宋" w:eastAsia="仿宋"/>
                <w:color w:val="auto"/>
                <w:szCs w:val="21"/>
                <w:highlight w:val="none"/>
              </w:rPr>
            </w:pPr>
            <w:r>
              <w:rPr>
                <w:rFonts w:ascii="仿宋" w:hAnsi="仿宋" w:eastAsia="仿宋"/>
                <w:b/>
                <w:color w:val="auto"/>
                <w:szCs w:val="21"/>
                <w:highlight w:val="none"/>
              </w:rPr>
              <w:t>*</w:t>
            </w:r>
            <w:r>
              <w:rPr>
                <w:rFonts w:ascii="仿宋" w:hAnsi="仿宋" w:eastAsia="仿宋"/>
                <w:color w:val="auto"/>
                <w:szCs w:val="21"/>
                <w:highlight w:val="none"/>
              </w:rPr>
              <w:t>采购方式</w:t>
            </w:r>
          </w:p>
        </w:tc>
        <w:tc>
          <w:tcPr>
            <w:tcW w:w="2207" w:type="dxa"/>
            <w:noWrap w:val="0"/>
            <w:vAlign w:val="center"/>
          </w:tcPr>
          <w:p>
            <w:pPr>
              <w:jc w:val="left"/>
              <w:rPr>
                <w:rFonts w:ascii="仿宋" w:hAnsi="仿宋" w:eastAsia="仿宋"/>
                <w:color w:val="auto"/>
                <w:szCs w:val="21"/>
                <w:highlight w:val="none"/>
              </w:rPr>
            </w:pPr>
            <w:r>
              <w:rPr>
                <w:rFonts w:hint="eastAsia" w:ascii="仿宋" w:hAnsi="仿宋" w:eastAsia="仿宋" w:cs="仿宋"/>
                <w:szCs w:val="21"/>
              </w:rPr>
              <w:t>自行采购（公开招标）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83" w:type="dxa"/>
            <w:noWrap w:val="0"/>
            <w:vAlign w:val="center"/>
          </w:tcPr>
          <w:p>
            <w:pPr>
              <w:jc w:val="left"/>
              <w:rPr>
                <w:rFonts w:ascii="仿宋" w:hAnsi="仿宋" w:eastAsia="仿宋"/>
                <w:color w:val="auto"/>
                <w:szCs w:val="21"/>
                <w:highlight w:val="none"/>
              </w:rPr>
            </w:pPr>
            <w:r>
              <w:rPr>
                <w:rFonts w:ascii="仿宋" w:hAnsi="仿宋" w:eastAsia="仿宋"/>
                <w:b/>
                <w:color w:val="auto"/>
                <w:szCs w:val="21"/>
                <w:highlight w:val="none"/>
              </w:rPr>
              <w:t>*</w:t>
            </w:r>
            <w:r>
              <w:rPr>
                <w:rFonts w:ascii="仿宋" w:hAnsi="仿宋" w:eastAsia="仿宋"/>
                <w:color w:val="auto"/>
                <w:szCs w:val="21"/>
                <w:highlight w:val="none"/>
              </w:rPr>
              <w:t>财政预算限额（元）</w:t>
            </w:r>
          </w:p>
        </w:tc>
        <w:tc>
          <w:tcPr>
            <w:tcW w:w="6960" w:type="dxa"/>
            <w:gridSpan w:val="7"/>
            <w:noWrap w:val="0"/>
            <w:vAlign w:val="center"/>
          </w:tcPr>
          <w:p>
            <w:pPr>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1</w:t>
            </w:r>
            <w:r>
              <w:rPr>
                <w:rFonts w:hint="default" w:ascii="仿宋" w:hAnsi="仿宋" w:eastAsia="仿宋"/>
                <w:color w:val="auto"/>
                <w:szCs w:val="21"/>
                <w:highlight w:val="none"/>
                <w:lang w:val="en-US" w:eastAsia="zh-CN"/>
              </w:rPr>
              <w:t>2</w:t>
            </w:r>
            <w:r>
              <w:rPr>
                <w:rFonts w:hint="eastAsia" w:ascii="仿宋" w:hAnsi="仿宋" w:eastAsia="仿宋"/>
                <w:color w:val="auto"/>
                <w:szCs w:val="21"/>
                <w:highlight w:val="none"/>
                <w:lang w:val="en-US" w:eastAsia="zh-CN"/>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483" w:type="dxa"/>
            <w:noWrap w:val="0"/>
            <w:vAlign w:val="center"/>
          </w:tcPr>
          <w:p>
            <w:pPr>
              <w:jc w:val="left"/>
              <w:rPr>
                <w:rFonts w:ascii="仿宋" w:hAnsi="仿宋" w:eastAsia="仿宋"/>
                <w:color w:val="auto"/>
                <w:szCs w:val="21"/>
                <w:highlight w:val="none"/>
              </w:rPr>
            </w:pPr>
            <w:r>
              <w:rPr>
                <w:rFonts w:ascii="仿宋" w:hAnsi="仿宋" w:eastAsia="仿宋"/>
                <w:color w:val="auto"/>
                <w:szCs w:val="21"/>
                <w:highlight w:val="none"/>
              </w:rPr>
              <w:t>项目背景</w:t>
            </w:r>
          </w:p>
        </w:tc>
        <w:tc>
          <w:tcPr>
            <w:tcW w:w="6960" w:type="dxa"/>
            <w:gridSpan w:val="7"/>
            <w:noWrap w:val="0"/>
            <w:vAlign w:val="center"/>
          </w:tcPr>
          <w:p>
            <w:pPr>
              <w:jc w:val="left"/>
              <w:rPr>
                <w:rFonts w:ascii="仿宋" w:hAnsi="仿宋" w:eastAsia="仿宋"/>
                <w:color w:val="auto"/>
                <w:szCs w:val="21"/>
                <w:highlight w:val="none"/>
              </w:rPr>
            </w:pPr>
            <w:r>
              <w:rPr>
                <w:rFonts w:hint="eastAsia" w:ascii="仿宋" w:hAnsi="仿宋" w:eastAsia="仿宋" w:cs="仿宋"/>
                <w:szCs w:val="21"/>
              </w:rPr>
              <w:t>湿地具有涵养水源、净化水质、蓄洪防旱、调节气候和维护生物多样性等重要生态功能，是独特的生态系统和重要的自然资源，是人类和野生动植物赖以生存的家园。水质好坏、鸟类数量能反映区域生态环境</w:t>
            </w:r>
            <w:r>
              <w:rPr>
                <w:rFonts w:hint="eastAsia" w:ascii="仿宋" w:hAnsi="仿宋" w:eastAsia="仿宋" w:cs="仿宋"/>
                <w:szCs w:val="21"/>
                <w:lang w:val="en-US" w:eastAsia="zh-CN"/>
              </w:rPr>
              <w:t>的</w:t>
            </w:r>
            <w:r>
              <w:rPr>
                <w:rFonts w:hint="eastAsia" w:ascii="仿宋" w:hAnsi="仿宋" w:eastAsia="仿宋" w:cs="仿宋"/>
                <w:szCs w:val="21"/>
              </w:rPr>
              <w:t>好坏，我处拟在广东深圳华侨城国家湿地公园</w:t>
            </w:r>
            <w:r>
              <w:rPr>
                <w:rFonts w:hint="eastAsia" w:ascii="仿宋" w:hAnsi="仿宋" w:eastAsia="仿宋" w:cs="仿宋"/>
              </w:rPr>
              <w:t>进行水质、鸟类监测</w:t>
            </w:r>
            <w:r>
              <w:rPr>
                <w:rFonts w:hint="eastAsia" w:ascii="仿宋" w:hAnsi="仿宋" w:eastAsia="仿宋" w:cs="仿宋"/>
                <w:szCs w:val="21"/>
              </w:rPr>
              <w:t>，通过监测，初步掌握华侨城湿地公园的水质、鸟类数据，以掌握其生态本底。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2" w:hRule="atLeast"/>
          <w:jc w:val="center"/>
        </w:trPr>
        <w:tc>
          <w:tcPr>
            <w:tcW w:w="1483" w:type="dxa"/>
            <w:noWrap w:val="0"/>
            <w:vAlign w:val="center"/>
          </w:tcPr>
          <w:p>
            <w:pPr>
              <w:jc w:val="center"/>
              <w:rPr>
                <w:rFonts w:ascii="仿宋" w:hAnsi="仿宋" w:eastAsia="仿宋"/>
                <w:color w:val="auto"/>
                <w:szCs w:val="21"/>
                <w:highlight w:val="none"/>
              </w:rPr>
            </w:pPr>
            <w:r>
              <w:rPr>
                <w:rFonts w:ascii="仿宋" w:hAnsi="仿宋" w:eastAsia="仿宋" w:cs="宋体"/>
                <w:color w:val="auto"/>
                <w:kern w:val="0"/>
                <w:szCs w:val="21"/>
                <w:highlight w:val="none"/>
              </w:rPr>
              <w:t>投标人资质要求</w:t>
            </w:r>
          </w:p>
        </w:tc>
        <w:tc>
          <w:tcPr>
            <w:tcW w:w="6960" w:type="dxa"/>
            <w:gridSpan w:val="7"/>
            <w:noWrap w:val="0"/>
            <w:vAlign w:val="top"/>
          </w:tcPr>
          <w:p>
            <w:pPr>
              <w:jc w:val="left"/>
              <w:rPr>
                <w:rFonts w:ascii="仿宋" w:hAnsi="仿宋" w:eastAsia="仿宋" w:cs="宋体"/>
                <w:b/>
                <w:color w:val="auto"/>
                <w:kern w:val="0"/>
                <w:szCs w:val="21"/>
                <w:highlight w:val="none"/>
              </w:rPr>
            </w:pPr>
            <w:r>
              <w:rPr>
                <w:rFonts w:ascii="仿宋" w:hAnsi="仿宋" w:eastAsia="仿宋" w:cs="宋体"/>
                <w:b/>
                <w:color w:val="auto"/>
                <w:kern w:val="0"/>
                <w:szCs w:val="21"/>
                <w:highlight w:val="none"/>
              </w:rPr>
              <w:t>注意：采购人根据项目所需提供明确、具体的资质要求，资质要求的内容必须与项目等级相匹配且符合相关法律规定。（设置的投标人资格要求必须提交有法律法规依据的证明文件，且不具备倾向性）</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（1）具有独立法人资格或具有独立承担民事责任能力的其它组织（提供营业执照或事业单位法人证等法人证明扫描件，原件备查）。</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（2）本项目不接受联合体投标，</w:t>
            </w:r>
            <w:r>
              <w:rPr>
                <w:rFonts w:hint="eastAsia" w:ascii="仿宋" w:hAnsi="仿宋" w:eastAsia="仿宋"/>
                <w:color w:val="auto"/>
                <w:szCs w:val="21"/>
                <w:highlight w:val="none"/>
                <w:lang w:val="en-US" w:eastAsia="zh-CN"/>
              </w:rPr>
              <w:t>不允许转包分包</w:t>
            </w:r>
            <w:r>
              <w:rPr>
                <w:rFonts w:hint="eastAsia" w:ascii="仿宋" w:hAnsi="仿宋" w:eastAsia="仿宋" w:cs="Times New Roman"/>
                <w:color w:val="auto"/>
                <w:szCs w:val="21"/>
                <w:highlight w:val="none"/>
                <w:lang w:val="en-US" w:eastAsia="zh-CN"/>
              </w:rPr>
              <w:t>。</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（3）参与本项目投标前三年内，在经营活动中没有重大违法记录（由供应商在《政府采购投标及履约承诺函》中作出声明）。</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（4）参与本项目政府采购活动时不存在被有关部门禁止参与政府采购活动且在有效期内的情况（由供应商在《政府采购投标及履约承诺函》中作出声明）。</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（5）具备《中华人民共和国政府采购法》第二十二条第一款的条件（由供应商在《政府采购投标及履约承诺函》中作出声明）。</w:t>
            </w:r>
          </w:p>
          <w:p>
            <w:pPr>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（6）未被列入失信被执行人、重大税收违法案件当事人名单、政府采购严重违法失信行为记录名单（由供应商在《政府采购投标及履约承诺函》中作出声明）。</w:t>
            </w:r>
          </w:p>
          <w:p>
            <w:pPr>
              <w:pStyle w:val="4"/>
              <w:numPr>
                <w:ilvl w:val="-1"/>
                <w:numId w:val="0"/>
              </w:numPr>
              <w:jc w:val="lef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注：</w:t>
            </w:r>
            <w:r>
              <w:rPr>
                <w:rFonts w:hint="eastAsia" w:ascii="仿宋" w:hAnsi="仿宋" w:eastAsia="仿宋"/>
                <w:color w:val="auto"/>
                <w:kern w:val="2"/>
                <w:sz w:val="21"/>
                <w:szCs w:val="21"/>
                <w:highlight w:val="none"/>
                <w:lang w:val="en-US" w:eastAsia="zh-CN"/>
              </w:rPr>
              <w:t>“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pPr>
              <w:jc w:val="left"/>
              <w:rPr>
                <w:rFonts w:ascii="仿宋" w:hAnsi="仿宋" w:eastAsia="仿宋" w:cs="宋体"/>
                <w:b/>
                <w:color w:val="auto"/>
                <w:kern w:val="0"/>
                <w:szCs w:val="21"/>
                <w:highlight w:val="none"/>
              </w:rPr>
            </w:pPr>
            <w:r>
              <w:rPr>
                <w:rFonts w:hint="eastAsia" w:ascii="仿宋" w:hAnsi="仿宋" w:eastAsia="仿宋" w:cs="Times New Roman"/>
                <w:color w:val="auto"/>
                <w:szCs w:val="21"/>
                <w:highlight w:val="none"/>
                <w:lang w:val="en-US" w:eastAsia="zh-CN"/>
              </w:rPr>
              <w:t>（7）投标人须签署《政府采购投标及履约承诺函》，否则做废标处理。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2" w:hRule="atLeast"/>
          <w:jc w:val="center"/>
        </w:trPr>
        <w:tc>
          <w:tcPr>
            <w:tcW w:w="1483" w:type="dxa"/>
            <w:noWrap w:val="0"/>
            <w:vAlign w:val="center"/>
          </w:tcPr>
          <w:p>
            <w:pPr>
              <w:jc w:val="center"/>
              <w:rPr>
                <w:rFonts w:ascii="仿宋" w:hAnsi="仿宋" w:eastAsia="仿宋" w:cs="宋体"/>
                <w:color w:val="auto"/>
                <w:kern w:val="0"/>
                <w:szCs w:val="21"/>
                <w:highlight w:val="none"/>
              </w:rPr>
            </w:pPr>
            <w:r>
              <w:rPr>
                <w:rFonts w:ascii="仿宋" w:hAnsi="仿宋" w:eastAsia="仿宋"/>
                <w:bCs/>
                <w:color w:val="auto"/>
                <w:szCs w:val="21"/>
                <w:highlight w:val="none"/>
              </w:rPr>
              <w:t>需求内容</w:t>
            </w:r>
          </w:p>
        </w:tc>
        <w:tc>
          <w:tcPr>
            <w:tcW w:w="6960" w:type="dxa"/>
            <w:gridSpan w:val="7"/>
            <w:noWrap w:val="0"/>
            <w:vAlign w:val="top"/>
          </w:tcPr>
          <w:p>
            <w:pPr>
              <w:numPr>
                <w:ilvl w:val="-1"/>
                <w:numId w:val="0"/>
              </w:numPr>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（一）、报价要求</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1、本项目服务费采用包干制，应包括服务成本、法定税费和企业的利润。由投标人根据采购文件所提供的资料自行测算投标报价；一经中标，报价总价作为中标人与采购人签订的合同金额，合同期限内不做调整；</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2、投标人应当根据本企业的成本自行决定报价，但不得以低于其企业成本的报价投标；</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3、投标人的报价不得超过项目预算金额；</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4、投标人的报价，应当是本项目采购范围和采购文件及合同条款上所列的各项内容中所述的全部，不得以任何理由予以重复；</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5、除非采购人通过修改采购文件予以更正，否则，投标人应毫无例外地按响应文件所列的清单中项目和数量填报综合单价和合价。投标人未填综合单价或合价的项目，在实施后，将不得以支付，并视作该项费用已包括在其它有价款的综合单价或合价内；</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6、投标人应先到项目地点踏勘以充分了解项目的位置、情况、道路及任何其它足以影响投标报价的情况，任何因忽视或误解项目情况而导致的索赔或服务期限延长申请将不获批准；</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7、投标人不得期望通过索赔等方式获取补偿，否则，除可能遭到拒绝外，还可能将被作为不良行为记录在案，并可能影响其以后参加政府采购的项目投标。各投标人在报价时，应充分考虑报价的风险。</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8、在合同实施期间，服务费用不随国家政策或法规、标准及市场因素的变化而进行调整。</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（二）付款方式</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按合同约定分期支付合同款项。</w:t>
            </w:r>
          </w:p>
          <w:p>
            <w:pPr>
              <w:numPr>
                <w:ilvl w:val="-1"/>
                <w:numId w:val="0"/>
              </w:numPr>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（三）履约保证金</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无</w:t>
            </w:r>
          </w:p>
          <w:p>
            <w:pPr>
              <w:numPr>
                <w:ilvl w:val="-1"/>
                <w:numId w:val="0"/>
              </w:numPr>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（四）违约责任</w:t>
            </w:r>
          </w:p>
          <w:p>
            <w:pPr>
              <w:numPr>
                <w:ilvl w:val="-1"/>
                <w:numId w:val="0"/>
              </w:numPr>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由双方协商并写于合同内。</w:t>
            </w:r>
          </w:p>
          <w:p>
            <w:pPr>
              <w:numPr>
                <w:ilvl w:val="-1"/>
                <w:numId w:val="0"/>
              </w:numPr>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（五）服务质量监督和项目验收要求</w:t>
            </w:r>
          </w:p>
          <w:p>
            <w:pPr>
              <w:pStyle w:val="5"/>
              <w:rPr>
                <w:rFonts w:hint="default"/>
                <w:lang w:val="en-US" w:eastAsia="zh-CN"/>
              </w:rPr>
            </w:pPr>
            <w:r>
              <w:rPr>
                <w:rFonts w:hint="eastAsia" w:ascii="仿宋" w:hAnsi="仿宋" w:eastAsia="仿宋" w:cs="Times New Roman"/>
                <w:b w:val="0"/>
                <w:color w:val="auto"/>
                <w:kern w:val="2"/>
                <w:sz w:val="21"/>
                <w:szCs w:val="21"/>
                <w:highlight w:val="none"/>
                <w:lang w:val="en-US" w:eastAsia="zh-CN" w:bidi="ar-SA"/>
              </w:rPr>
              <w:t>投标人应按项目采购需求规定的技术及时间要求，完成相应工作并提交全部成果，项目成果应通过采购人的验收。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3" w:type="dxa"/>
            <w:noWrap w:val="0"/>
            <w:vAlign w:val="center"/>
          </w:tcPr>
          <w:p>
            <w:pPr>
              <w:jc w:val="center"/>
              <w:rPr>
                <w:rFonts w:ascii="仿宋" w:hAnsi="仿宋" w:eastAsia="仿宋" w:cs="宋体"/>
                <w:color w:val="auto"/>
                <w:kern w:val="0"/>
                <w:szCs w:val="21"/>
                <w:highlight w:val="none"/>
              </w:rPr>
            </w:pPr>
            <w:r>
              <w:rPr>
                <w:rFonts w:ascii="仿宋" w:hAnsi="仿宋" w:eastAsia="仿宋" w:cs="宋体"/>
                <w:color w:val="auto"/>
                <w:kern w:val="0"/>
                <w:szCs w:val="21"/>
                <w:highlight w:val="none"/>
              </w:rPr>
              <w:t>具体技术要求</w:t>
            </w:r>
          </w:p>
        </w:tc>
        <w:tc>
          <w:tcPr>
            <w:tcW w:w="6960" w:type="dxa"/>
            <w:gridSpan w:val="7"/>
            <w:noWrap w:val="0"/>
            <w:vAlign w:val="top"/>
          </w:tcPr>
          <w:p>
            <w:pPr>
              <w:numPr>
                <w:ilvl w:val="-1"/>
                <w:numId w:val="0"/>
              </w:numPr>
              <w:ind w:firstLine="0" w:firstLineChars="0"/>
              <w:jc w:val="left"/>
              <w:rPr>
                <w:rFonts w:hint="default"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（一）提供服务总体要求</w:t>
            </w:r>
          </w:p>
          <w:p>
            <w:pPr>
              <w:numPr>
                <w:ilvl w:val="-1"/>
                <w:numId w:val="0"/>
              </w:numPr>
              <w:ind w:firstLine="420" w:firstLineChars="200"/>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仿宋"/>
                <w:szCs w:val="21"/>
              </w:rPr>
              <w:t>湿地具有涵养水源、净化水质、蓄洪防旱、调节气候和维护生物多样性等重要生态功能，是独特的生态系统和重要的自然资源，是人类和野生动植物赖以生存的家园。水质好坏、鸟类数量能反映区域生态环境</w:t>
            </w:r>
            <w:r>
              <w:rPr>
                <w:rFonts w:hint="eastAsia" w:ascii="仿宋" w:hAnsi="仿宋" w:eastAsia="仿宋" w:cs="仿宋"/>
                <w:szCs w:val="21"/>
                <w:lang w:val="en-US" w:eastAsia="zh-CN"/>
              </w:rPr>
              <w:t>的</w:t>
            </w:r>
            <w:r>
              <w:rPr>
                <w:rFonts w:hint="eastAsia" w:ascii="仿宋" w:hAnsi="仿宋" w:eastAsia="仿宋" w:cs="仿宋"/>
                <w:szCs w:val="21"/>
              </w:rPr>
              <w:t>好坏</w:t>
            </w:r>
            <w:r>
              <w:rPr>
                <w:rFonts w:hint="eastAsia" w:ascii="仿宋" w:hAnsi="仿宋" w:eastAsia="仿宋" w:cs="Times New Roman"/>
                <w:b w:val="0"/>
                <w:color w:val="auto"/>
                <w:kern w:val="2"/>
                <w:sz w:val="21"/>
                <w:szCs w:val="21"/>
                <w:highlight w:val="none"/>
                <w:lang w:val="en-US" w:eastAsia="zh-CN" w:bidi="ar-SA"/>
              </w:rPr>
              <w:t>。</w:t>
            </w:r>
          </w:p>
          <w:p>
            <w:pPr>
              <w:numPr>
                <w:ilvl w:val="-1"/>
                <w:numId w:val="0"/>
              </w:numPr>
              <w:ind w:firstLine="420" w:firstLineChars="200"/>
              <w:jc w:val="left"/>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本项目在</w:t>
            </w:r>
            <w:r>
              <w:rPr>
                <w:rFonts w:hint="eastAsia" w:ascii="仿宋" w:hAnsi="仿宋" w:eastAsia="仿宋" w:cs="仿宋"/>
                <w:szCs w:val="21"/>
              </w:rPr>
              <w:t>广东深圳华侨城国家湿地公园</w:t>
            </w:r>
            <w:r>
              <w:rPr>
                <w:rFonts w:hint="eastAsia" w:ascii="仿宋" w:hAnsi="仿宋" w:eastAsia="仿宋" w:cs="仿宋"/>
              </w:rPr>
              <w:t>进行水质、鸟类监测</w:t>
            </w:r>
            <w:r>
              <w:rPr>
                <w:rFonts w:hint="eastAsia" w:ascii="仿宋" w:hAnsi="仿宋" w:eastAsia="仿宋" w:cs="Times New Roman"/>
                <w:b w:val="0"/>
                <w:color w:val="auto"/>
                <w:kern w:val="2"/>
                <w:sz w:val="21"/>
                <w:szCs w:val="21"/>
                <w:highlight w:val="none"/>
                <w:lang w:val="en-US" w:eastAsia="zh-CN" w:bidi="ar-SA"/>
              </w:rPr>
              <w:t>，</w:t>
            </w:r>
            <w:r>
              <w:rPr>
                <w:rFonts w:hint="eastAsia" w:ascii="仿宋" w:hAnsi="仿宋" w:eastAsia="仿宋" w:cs="仿宋"/>
                <w:szCs w:val="21"/>
              </w:rPr>
              <w:t>通过监测，初步掌握华侨城湿地公园的水质、鸟类数据，掌握生态</w:t>
            </w:r>
            <w:r>
              <w:rPr>
                <w:rFonts w:hint="eastAsia" w:ascii="仿宋" w:hAnsi="仿宋" w:eastAsia="仿宋" w:cs="仿宋"/>
                <w:szCs w:val="21"/>
                <w:lang w:eastAsia="zh-CN"/>
              </w:rPr>
              <w:t>情况</w:t>
            </w:r>
            <w:r>
              <w:rPr>
                <w:rFonts w:hint="eastAsia" w:ascii="仿宋" w:hAnsi="仿宋" w:eastAsia="仿宋"/>
                <w:color w:val="auto"/>
                <w:szCs w:val="21"/>
                <w:highlight w:val="none"/>
              </w:rPr>
              <w:t>。</w:t>
            </w:r>
          </w:p>
          <w:p>
            <w:pPr>
              <w:numPr>
                <w:ilvl w:val="-1"/>
                <w:numId w:val="0"/>
              </w:numPr>
              <w:ind w:firstLine="0" w:firstLineChars="0"/>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（二）服务人员情况</w:t>
            </w:r>
          </w:p>
          <w:p>
            <w:pPr>
              <w:numPr>
                <w:ilvl w:val="-1"/>
                <w:numId w:val="0"/>
              </w:numPr>
              <w:ind w:firstLine="420" w:firstLineChars="200"/>
              <w:jc w:val="left"/>
              <w:rPr>
                <w:rFonts w:hint="eastAsia" w:ascii="仿宋" w:hAnsi="仿宋" w:eastAsia="仿宋" w:cs="仿宋"/>
                <w:szCs w:val="21"/>
                <w:lang w:val="en-US" w:eastAsia="zh-CN"/>
              </w:rPr>
            </w:pPr>
            <w:r>
              <w:rPr>
                <w:rFonts w:hint="eastAsia" w:ascii="仿宋" w:hAnsi="仿宋" w:eastAsia="仿宋" w:cs="仿宋"/>
                <w:szCs w:val="21"/>
                <w:lang w:val="en-US" w:eastAsia="zh-CN"/>
              </w:rPr>
              <w:t>（1）中标单位必须独立设置项目组，有固定的项目负责人和联系人。</w:t>
            </w:r>
          </w:p>
          <w:p>
            <w:pPr>
              <w:numPr>
                <w:ilvl w:val="-1"/>
                <w:numId w:val="0"/>
              </w:numPr>
              <w:ind w:firstLine="420" w:firstLineChars="200"/>
              <w:jc w:val="left"/>
              <w:rPr>
                <w:rFonts w:hint="eastAsia" w:ascii="仿宋" w:hAnsi="仿宋" w:eastAsia="仿宋" w:cs="仿宋"/>
                <w:szCs w:val="21"/>
                <w:lang w:val="en-US" w:eastAsia="zh-CN"/>
              </w:rPr>
            </w:pPr>
            <w:r>
              <w:rPr>
                <w:rFonts w:hint="eastAsia" w:ascii="仿宋" w:hAnsi="仿宋" w:eastAsia="仿宋" w:cs="仿宋"/>
                <w:szCs w:val="21"/>
                <w:lang w:val="en-US" w:eastAsia="zh-CN"/>
              </w:rPr>
              <w:t>（2）项目负责人需具有5年以上（含5年）水、鸟调查相关经验。</w:t>
            </w:r>
          </w:p>
          <w:p>
            <w:pPr>
              <w:numPr>
                <w:ilvl w:val="-1"/>
                <w:numId w:val="0"/>
              </w:numPr>
              <w:ind w:firstLine="420" w:firstLineChars="200"/>
              <w:jc w:val="left"/>
              <w:rPr>
                <w:rFonts w:hint="eastAsia" w:ascii="仿宋" w:hAnsi="仿宋" w:eastAsia="仿宋" w:cs="仿宋"/>
                <w:szCs w:val="21"/>
                <w:lang w:val="en-US" w:eastAsia="zh-CN"/>
              </w:rPr>
            </w:pPr>
            <w:r>
              <w:rPr>
                <w:rFonts w:hint="eastAsia" w:ascii="仿宋" w:hAnsi="仿宋" w:eastAsia="仿宋" w:cs="仿宋"/>
                <w:szCs w:val="21"/>
                <w:lang w:val="en-US" w:eastAsia="zh-CN"/>
              </w:rPr>
              <w:t>（3）中标方不得随意更换项目负责人，如不经采购单位同意擅自更换，则采购单位有权解除合同或根据情节对其处以5000元/次的罚款。</w:t>
            </w:r>
          </w:p>
          <w:p>
            <w:pPr>
              <w:numPr>
                <w:ilvl w:val="-1"/>
                <w:numId w:val="0"/>
              </w:numPr>
              <w:ind w:firstLine="0" w:firstLineChars="0"/>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（三）详细具体的服务需求内容及工作量情况</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参考《广东省重要湿地监测技术指南（试行）》，</w:t>
            </w:r>
            <w:r>
              <w:rPr>
                <w:rFonts w:hint="eastAsia" w:ascii="仿宋" w:hAnsi="仿宋" w:eastAsia="仿宋" w:cs="Times New Roman"/>
                <w:b w:val="0"/>
                <w:color w:val="auto"/>
                <w:kern w:val="2"/>
                <w:sz w:val="21"/>
                <w:szCs w:val="21"/>
                <w:highlight w:val="none"/>
                <w:lang w:val="en-US" w:eastAsia="zh-CN" w:bidi="ar-SA"/>
              </w:rPr>
              <w:t>开展广东深圳华侨城国家湿地公园水质、鸟类监测，形成广东深圳华侨城国家湿地公园水、鸟年度监测报告。</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具体内容如下：</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1、水监测</w:t>
            </w:r>
            <w:bookmarkStart w:id="0" w:name="_GoBack"/>
            <w:bookmarkEnd w:id="0"/>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（1）地点：广东深圳华侨城国家湿地公园。</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（2）内容：pH值、水温、盐度、溶解氧（DO）、化学需氧量（COD）、总氮（包括氨氮和硝氮无机氮）、总磷（包括活性磷酸盐‌）、石油。</w:t>
            </w:r>
          </w:p>
          <w:p>
            <w:pPr>
              <w:ind w:firstLine="420" w:firstLineChars="200"/>
              <w:rPr>
                <w:rFonts w:hint="default"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（3）监测频次：每月1次，其中石油一年1次。</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丰水期各1 次，增加鸟类越冬期每月1次监测。</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2、鸟监测</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（1）地点：广东深圳华侨城国家湿地公园。</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Times New Roman"/>
                <w:b w:val="0"/>
                <w:color w:val="auto"/>
                <w:kern w:val="2"/>
                <w:sz w:val="21"/>
                <w:szCs w:val="21"/>
                <w:highlight w:val="none"/>
                <w:lang w:val="en-US" w:eastAsia="zh-CN" w:bidi="ar-SA"/>
              </w:rPr>
              <w:t>（2）内容：鸟类（重点水鸟）种类、分布、种群数量及多样性。</w:t>
            </w:r>
          </w:p>
          <w:p>
            <w:pPr>
              <w:ind w:firstLine="420" w:firstLineChars="200"/>
              <w:rPr>
                <w:rFonts w:hint="eastAsia" w:ascii="仿宋" w:hAnsi="仿宋" w:eastAsia="仿宋" w:cs="仿宋"/>
                <w:szCs w:val="21"/>
                <w:highlight w:val="none"/>
              </w:rPr>
            </w:pPr>
            <w:r>
              <w:rPr>
                <w:rFonts w:hint="eastAsia" w:ascii="仿宋" w:hAnsi="仿宋" w:eastAsia="仿宋" w:cs="Times New Roman"/>
                <w:b w:val="0"/>
                <w:color w:val="auto"/>
                <w:kern w:val="2"/>
                <w:sz w:val="21"/>
                <w:szCs w:val="21"/>
                <w:highlight w:val="none"/>
                <w:lang w:val="en-US" w:eastAsia="zh-CN" w:bidi="ar-SA"/>
              </w:rPr>
              <w:t>（3）监测频次： 候鸟季每月2次，非候鸟季每月1次</w:t>
            </w:r>
            <w:r>
              <w:rPr>
                <w:rFonts w:hint="eastAsia" w:ascii="仿宋" w:hAnsi="仿宋" w:eastAsia="仿宋" w:cs="仿宋"/>
                <w:szCs w:val="21"/>
                <w:highlight w:val="none"/>
              </w:rPr>
              <w:t>。</w:t>
            </w:r>
          </w:p>
          <w:p>
            <w:pPr>
              <w:numPr>
                <w:ilvl w:val="-1"/>
                <w:numId w:val="0"/>
              </w:numPr>
              <w:ind w:firstLine="0" w:firstLineChars="0"/>
              <w:jc w:val="left"/>
              <w:rPr>
                <w:rFonts w:hint="eastAsia" w:ascii="仿宋" w:hAnsi="仿宋" w:eastAsia="仿宋" w:cs="Times New Roman"/>
                <w:b/>
                <w:bCs/>
                <w:color w:val="auto"/>
                <w:kern w:val="2"/>
                <w:sz w:val="21"/>
                <w:szCs w:val="21"/>
                <w:highlight w:val="none"/>
                <w:lang w:val="en-US" w:eastAsia="zh-CN" w:bidi="ar-SA"/>
              </w:rPr>
            </w:pPr>
            <w:r>
              <w:rPr>
                <w:rFonts w:hint="eastAsia" w:ascii="仿宋" w:hAnsi="仿宋" w:eastAsia="仿宋" w:cs="Times New Roman"/>
                <w:b/>
                <w:bCs/>
                <w:color w:val="auto"/>
                <w:kern w:val="2"/>
                <w:sz w:val="21"/>
                <w:szCs w:val="21"/>
                <w:highlight w:val="none"/>
                <w:lang w:val="en-US" w:eastAsia="zh-CN" w:bidi="ar-SA"/>
              </w:rPr>
              <w:t>（四）成果要求</w:t>
            </w:r>
          </w:p>
          <w:p>
            <w:pPr>
              <w:ind w:firstLine="420" w:firstLineChars="200"/>
              <w:rPr>
                <w:rFonts w:hint="eastAsia" w:ascii="仿宋" w:hAnsi="仿宋" w:eastAsia="仿宋" w:cs="仿宋"/>
                <w:szCs w:val="21"/>
              </w:rPr>
            </w:pPr>
            <w:r>
              <w:rPr>
                <w:rFonts w:hint="eastAsia" w:ascii="仿宋" w:hAnsi="仿宋" w:eastAsia="仿宋" w:cs="仿宋"/>
                <w:szCs w:val="21"/>
                <w:lang w:val="en-US" w:eastAsia="zh-CN"/>
              </w:rPr>
              <w:t>1.</w:t>
            </w:r>
            <w:r>
              <w:rPr>
                <w:rFonts w:hint="eastAsia" w:ascii="仿宋" w:hAnsi="仿宋" w:eastAsia="仿宋" w:cs="仿宋"/>
                <w:szCs w:val="21"/>
                <w:lang w:eastAsia="zh-CN"/>
              </w:rPr>
              <w:t>《</w:t>
            </w:r>
            <w:r>
              <w:rPr>
                <w:rFonts w:hint="eastAsia" w:ascii="仿宋" w:hAnsi="仿宋" w:eastAsia="仿宋" w:cs="仿宋"/>
                <w:szCs w:val="21"/>
              </w:rPr>
              <w:t>水、鸟年度监测</w:t>
            </w:r>
            <w:r>
              <w:rPr>
                <w:rFonts w:hint="eastAsia" w:ascii="仿宋" w:hAnsi="仿宋" w:eastAsia="仿宋" w:cs="仿宋"/>
                <w:szCs w:val="21"/>
                <w:lang w:val="en-US" w:eastAsia="zh-CN"/>
              </w:rPr>
              <w:t>与评价</w:t>
            </w:r>
            <w:r>
              <w:rPr>
                <w:rFonts w:hint="eastAsia" w:ascii="仿宋" w:hAnsi="仿宋" w:eastAsia="仿宋" w:cs="仿宋"/>
                <w:szCs w:val="21"/>
              </w:rPr>
              <w:t>报告</w:t>
            </w:r>
            <w:r>
              <w:rPr>
                <w:rFonts w:hint="eastAsia" w:ascii="仿宋" w:hAnsi="仿宋" w:eastAsia="仿宋" w:cs="仿宋"/>
                <w:szCs w:val="21"/>
                <w:lang w:eastAsia="zh-CN"/>
              </w:rPr>
              <w:t>》，</w:t>
            </w:r>
            <w:r>
              <w:rPr>
                <w:rFonts w:hint="eastAsia" w:ascii="仿宋" w:hAnsi="仿宋" w:eastAsia="仿宋" w:cs="仿宋"/>
                <w:szCs w:val="21"/>
              </w:rPr>
              <w:t>WORD格式</w:t>
            </w:r>
            <w:r>
              <w:rPr>
                <w:rFonts w:hint="eastAsia" w:ascii="仿宋" w:hAnsi="仿宋" w:eastAsia="仿宋" w:cs="仿宋"/>
                <w:szCs w:val="21"/>
                <w:lang w:val="en-US" w:eastAsia="zh-CN"/>
              </w:rPr>
              <w:t>及PDF格式</w:t>
            </w:r>
            <w:r>
              <w:rPr>
                <w:rFonts w:hint="eastAsia" w:ascii="仿宋" w:hAnsi="仿宋" w:eastAsia="仿宋" w:cs="仿宋"/>
                <w:szCs w:val="21"/>
              </w:rPr>
              <w:t>；</w:t>
            </w:r>
          </w:p>
          <w:p>
            <w:pPr>
              <w:ind w:firstLine="420" w:firstLineChars="20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工作图集（包括相关</w:t>
            </w:r>
            <w:r>
              <w:rPr>
                <w:rFonts w:hint="eastAsia" w:ascii="仿宋" w:hAnsi="仿宋" w:eastAsia="仿宋" w:cs="仿宋"/>
                <w:szCs w:val="21"/>
                <w:lang w:eastAsia="zh-CN"/>
              </w:rPr>
              <w:t>水质、</w:t>
            </w:r>
            <w:r>
              <w:rPr>
                <w:rFonts w:hint="eastAsia" w:ascii="仿宋" w:hAnsi="仿宋" w:eastAsia="仿宋" w:cs="仿宋"/>
                <w:szCs w:val="21"/>
              </w:rPr>
              <w:t>动物、环境等），JPG格式。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7" w:hRule="atLeast"/>
          <w:jc w:val="center"/>
        </w:trPr>
        <w:tc>
          <w:tcPr>
            <w:tcW w:w="1483" w:type="dxa"/>
            <w:noWrap w:val="0"/>
            <w:vAlign w:val="top"/>
          </w:tcPr>
          <w:p>
            <w:pPr>
              <w:jc w:val="left"/>
              <w:rPr>
                <w:rFonts w:ascii="仿宋" w:hAnsi="仿宋" w:eastAsia="仿宋" w:cs="宋体"/>
                <w:color w:val="auto"/>
                <w:kern w:val="0"/>
                <w:szCs w:val="21"/>
                <w:highlight w:val="none"/>
              </w:rPr>
            </w:pPr>
            <w:r>
              <w:rPr>
                <w:rFonts w:ascii="仿宋" w:hAnsi="仿宋" w:eastAsia="仿宋" w:cs="宋体"/>
                <w:color w:val="auto"/>
                <w:kern w:val="0"/>
                <w:szCs w:val="21"/>
                <w:highlight w:val="none"/>
              </w:rPr>
              <w:t>商务需求</w:t>
            </w:r>
          </w:p>
        </w:tc>
        <w:tc>
          <w:tcPr>
            <w:tcW w:w="6960" w:type="dxa"/>
            <w:gridSpan w:val="7"/>
            <w:noWrap w:val="0"/>
            <w:vAlign w:val="top"/>
          </w:tcPr>
          <w:p>
            <w:pPr>
              <w:pStyle w:val="16"/>
              <w:adjustRightInd w:val="0"/>
              <w:ind w:firstLine="0" w:firstLineChars="0"/>
              <w:rPr>
                <w:rFonts w:ascii="仿宋" w:hAnsi="仿宋" w:eastAsia="仿宋" w:cs="仿宋"/>
                <w:szCs w:val="21"/>
              </w:rPr>
            </w:pPr>
            <w:r>
              <w:rPr>
                <w:rFonts w:hint="eastAsia" w:ascii="仿宋" w:hAnsi="仿宋" w:eastAsia="仿宋" w:cs="仿宋"/>
                <w:szCs w:val="21"/>
              </w:rPr>
              <w:t>（一）服务期限：合同签订之日起至202</w:t>
            </w:r>
            <w:r>
              <w:rPr>
                <w:rFonts w:hint="default" w:ascii="仿宋" w:hAnsi="仿宋" w:eastAsia="仿宋" w:cs="仿宋"/>
                <w:szCs w:val="21"/>
                <w:lang w:val="en-US"/>
              </w:rPr>
              <w:t>5</w:t>
            </w:r>
            <w:r>
              <w:rPr>
                <w:rFonts w:hint="eastAsia" w:ascii="仿宋" w:hAnsi="仿宋" w:eastAsia="仿宋" w:cs="仿宋"/>
                <w:szCs w:val="21"/>
              </w:rPr>
              <w:t>年12月。采购方可根据《深圳经济特区政府采购条例》第三十八条、《深圳经济特区政府采购条例实施细则》第五十九条等规定，视供应商的服务质量情况决定是否续期（续期最多两次，每次一年）。</w:t>
            </w:r>
          </w:p>
          <w:p>
            <w:pPr>
              <w:pStyle w:val="16"/>
              <w:adjustRightInd w:val="0"/>
              <w:ind w:firstLine="0" w:firstLineChars="0"/>
              <w:rPr>
                <w:rFonts w:hint="eastAsia" w:ascii="仿宋" w:hAnsi="仿宋" w:eastAsia="仿宋" w:cs="仿宋"/>
                <w:szCs w:val="21"/>
              </w:rPr>
            </w:pPr>
            <w:r>
              <w:rPr>
                <w:rFonts w:hint="eastAsia" w:ascii="仿宋" w:hAnsi="仿宋" w:eastAsia="仿宋" w:cs="仿宋"/>
                <w:szCs w:val="21"/>
              </w:rPr>
              <w:t>（二）服务地点：广东深圳华侨城国家湿地公园。</w:t>
            </w:r>
          </w:p>
          <w:p>
            <w:pPr>
              <w:pStyle w:val="16"/>
              <w:adjustRightInd w:val="0"/>
              <w:ind w:firstLine="0" w:firstLineChars="0"/>
              <w:rPr>
                <w:rFonts w:hint="eastAsia" w:ascii="仿宋" w:hAnsi="仿宋" w:eastAsia="仿宋" w:cs="仿宋"/>
                <w:szCs w:val="21"/>
              </w:rPr>
            </w:pPr>
            <w:r>
              <w:rPr>
                <w:rFonts w:hint="eastAsia" w:ascii="仿宋" w:hAnsi="仿宋" w:eastAsia="仿宋" w:cs="仿宋"/>
                <w:szCs w:val="21"/>
              </w:rPr>
              <w:t>（三）服务要求</w:t>
            </w:r>
            <w:r>
              <w:rPr>
                <w:rFonts w:hint="eastAsia" w:ascii="仿宋" w:hAnsi="仿宋" w:eastAsia="仿宋" w:cs="仿宋"/>
                <w:szCs w:val="21"/>
                <w:lang w:eastAsia="zh-CN"/>
              </w:rPr>
              <w:t>：</w:t>
            </w:r>
            <w:r>
              <w:rPr>
                <w:rFonts w:hint="eastAsia" w:ascii="仿宋" w:hAnsi="仿宋" w:eastAsia="仿宋" w:cs="仿宋"/>
                <w:szCs w:val="21"/>
              </w:rPr>
              <w:t>投标人须熟悉广东深圳华侨城国家湿地公园相关情况，在</w:t>
            </w:r>
            <w:r>
              <w:rPr>
                <w:rFonts w:hint="eastAsia" w:ascii="仿宋" w:hAnsi="仿宋" w:eastAsia="仿宋" w:cs="仿宋"/>
                <w:szCs w:val="21"/>
                <w:lang w:eastAsia="zh-CN"/>
              </w:rPr>
              <w:t>湿地水、鸟</w:t>
            </w:r>
            <w:r>
              <w:rPr>
                <w:rFonts w:hint="eastAsia" w:ascii="仿宋" w:hAnsi="仿宋" w:eastAsia="仿宋" w:cs="仿宋"/>
                <w:szCs w:val="21"/>
                <w:lang w:val="en-US" w:eastAsia="zh-CN"/>
              </w:rPr>
              <w:t>监测</w:t>
            </w:r>
            <w:r>
              <w:rPr>
                <w:rFonts w:hint="eastAsia" w:ascii="仿宋" w:hAnsi="仿宋" w:eastAsia="仿宋" w:cs="仿宋"/>
                <w:szCs w:val="21"/>
              </w:rPr>
              <w:t>等方面具有相关工作经验，具备技术积累。</w:t>
            </w:r>
          </w:p>
          <w:p>
            <w:pPr>
              <w:pStyle w:val="16"/>
              <w:adjustRightInd w:val="0"/>
              <w:ind w:firstLine="0" w:firstLineChars="0"/>
              <w:rPr>
                <w:rFonts w:hint="eastAsia" w:ascii="仿宋" w:hAnsi="仿宋" w:eastAsia="仿宋" w:cs="仿宋"/>
                <w:szCs w:val="21"/>
                <w:lang w:val="en-US" w:eastAsia="zh-CN"/>
              </w:rPr>
            </w:pPr>
            <w:r>
              <w:rPr>
                <w:rFonts w:hint="eastAsia" w:ascii="仿宋" w:hAnsi="仿宋" w:eastAsia="仿宋" w:cs="仿宋"/>
                <w:szCs w:val="21"/>
              </w:rPr>
              <w:t>（</w:t>
            </w:r>
            <w:r>
              <w:rPr>
                <w:rFonts w:hint="eastAsia" w:ascii="仿宋" w:hAnsi="仿宋" w:eastAsia="仿宋" w:cs="仿宋"/>
                <w:szCs w:val="21"/>
                <w:lang w:val="en-US" w:eastAsia="zh-CN"/>
              </w:rPr>
              <w:t>四</w:t>
            </w:r>
            <w:r>
              <w:rPr>
                <w:rFonts w:hint="eastAsia" w:ascii="仿宋" w:hAnsi="仿宋" w:eastAsia="仿宋" w:cs="仿宋"/>
                <w:szCs w:val="21"/>
              </w:rPr>
              <w:t>）</w:t>
            </w:r>
            <w:r>
              <w:rPr>
                <w:rFonts w:hint="eastAsia" w:ascii="仿宋" w:hAnsi="仿宋" w:eastAsia="仿宋" w:cs="仿宋"/>
                <w:szCs w:val="21"/>
                <w:lang w:val="en-US" w:eastAsia="zh-CN"/>
              </w:rPr>
              <w:t>进度安排：</w:t>
            </w:r>
          </w:p>
          <w:p>
            <w:pPr>
              <w:pStyle w:val="16"/>
              <w:adjustRightInd w:val="0"/>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1.中标方应按合同要求按时、按质、按量推进项目工作；</w:t>
            </w:r>
          </w:p>
          <w:p>
            <w:pPr>
              <w:pStyle w:val="16"/>
              <w:adjustRightInd w:val="0"/>
              <w:ind w:firstLine="0" w:firstLineChars="0"/>
              <w:rPr>
                <w:rFonts w:hint="default" w:ascii="仿宋" w:hAnsi="仿宋" w:eastAsia="仿宋" w:cs="仿宋"/>
                <w:szCs w:val="21"/>
                <w:lang w:val="en-US" w:eastAsia="zh-CN"/>
              </w:rPr>
            </w:pPr>
            <w:r>
              <w:rPr>
                <w:rFonts w:hint="eastAsia" w:ascii="仿宋" w:hAnsi="仿宋" w:eastAsia="仿宋" w:cs="仿宋"/>
                <w:szCs w:val="21"/>
                <w:lang w:val="en-US" w:eastAsia="zh-CN"/>
              </w:rPr>
              <w:t>2.中标方项目组成员应按采购方的要求参加本项目审查和讨论的全部工作会议。</w:t>
            </w:r>
          </w:p>
          <w:p>
            <w:pPr>
              <w:pStyle w:val="16"/>
              <w:adjustRightInd w:val="0"/>
              <w:ind w:firstLine="0" w:firstLineChars="0"/>
              <w:rPr>
                <w:rFonts w:ascii="仿宋" w:hAnsi="仿宋" w:eastAsia="仿宋" w:cs="仿宋"/>
                <w:szCs w:val="21"/>
              </w:rPr>
            </w:pP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五</w:t>
            </w:r>
            <w:r>
              <w:rPr>
                <w:rFonts w:hint="eastAsia" w:ascii="仿宋" w:hAnsi="仿宋" w:eastAsia="仿宋" w:cs="仿宋"/>
                <w:szCs w:val="21"/>
                <w:highlight w:val="none"/>
              </w:rPr>
              <w:t>）</w:t>
            </w:r>
            <w:r>
              <w:rPr>
                <w:rFonts w:hint="eastAsia" w:ascii="仿宋" w:hAnsi="仿宋" w:eastAsia="仿宋" w:cs="仿宋"/>
                <w:szCs w:val="21"/>
                <w:lang w:val="en-US" w:eastAsia="zh-CN"/>
              </w:rPr>
              <w:t>售后服务</w:t>
            </w:r>
            <w:r>
              <w:rPr>
                <w:rFonts w:hint="eastAsia" w:ascii="仿宋" w:hAnsi="仿宋" w:eastAsia="仿宋" w:cs="仿宋"/>
                <w:szCs w:val="21"/>
              </w:rPr>
              <w:t>：</w:t>
            </w:r>
          </w:p>
          <w:p>
            <w:pPr>
              <w:pStyle w:val="16"/>
              <w:adjustRightInd w:val="0"/>
              <w:ind w:firstLine="0" w:firstLineChars="0"/>
              <w:rPr>
                <w:rFonts w:hint="eastAsia" w:ascii="仿宋" w:hAnsi="仿宋" w:eastAsia="仿宋" w:cs="仿宋"/>
                <w:szCs w:val="21"/>
                <w:lang w:val="en-US" w:eastAsia="zh-CN"/>
              </w:rPr>
            </w:pPr>
            <w:r>
              <w:rPr>
                <w:rFonts w:hint="eastAsia" w:ascii="仿宋" w:hAnsi="仿宋" w:eastAsia="仿宋" w:cs="仿宋"/>
                <w:szCs w:val="21"/>
                <w:lang w:val="en-US" w:eastAsia="zh-CN"/>
              </w:rPr>
              <w:t>项目售后服务期限自最终成果提交采购方之日起的1年内，中标方须与采购方保持密切沟通，随时跟进项目后续的服务需求，提供相关技术支持。</w:t>
            </w:r>
          </w:p>
          <w:p>
            <w:pPr>
              <w:pStyle w:val="16"/>
              <w:adjustRightInd w:val="0"/>
              <w:ind w:firstLine="0" w:firstLineChars="0"/>
              <w:rPr>
                <w:rFonts w:hint="eastAsia" w:ascii="仿宋" w:hAnsi="仿宋" w:eastAsia="仿宋" w:cs="Times New Roman"/>
                <w:b w:val="0"/>
                <w:color w:val="auto"/>
                <w:kern w:val="2"/>
                <w:sz w:val="21"/>
                <w:szCs w:val="21"/>
                <w:highlight w:val="none"/>
                <w:lang w:val="en-US" w:eastAsia="zh-CN" w:bidi="ar-SA"/>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六</w:t>
            </w:r>
            <w:r>
              <w:rPr>
                <w:rFonts w:hint="eastAsia" w:ascii="仿宋" w:hAnsi="仿宋" w:eastAsia="仿宋" w:cs="仿宋"/>
                <w:szCs w:val="21"/>
                <w:highlight w:val="none"/>
                <w:lang w:eastAsia="zh-CN"/>
              </w:rPr>
              <w:t>）</w:t>
            </w:r>
            <w:r>
              <w:rPr>
                <w:rFonts w:hint="eastAsia" w:ascii="仿宋" w:hAnsi="仿宋" w:eastAsia="仿宋" w:cs="仿宋"/>
                <w:szCs w:val="21"/>
                <w:highlight w:val="none"/>
              </w:rPr>
              <w:t>廉政建设要求：为加强廉政建设，投标人在投标时，必须签署《政府采购投标及履约承诺函》，否则做废标处理。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restart"/>
            <w:tcBorders>
              <w:top w:val="single" w:color="auto" w:sz="4" w:space="0"/>
              <w:left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评标信息</w:t>
            </w:r>
          </w:p>
        </w:tc>
        <w:tc>
          <w:tcPr>
            <w:tcW w:w="6960" w:type="dxa"/>
            <w:gridSpan w:val="7"/>
            <w:tcBorders>
              <w:top w:val="single" w:color="auto" w:sz="4" w:space="0"/>
              <w:left w:val="single" w:color="auto" w:sz="4" w:space="0"/>
              <w:bottom w:val="single" w:color="auto" w:sz="4" w:space="0"/>
              <w:right w:val="single" w:color="auto" w:sz="4" w:space="0"/>
            </w:tcBorders>
            <w:noWrap w:val="0"/>
            <w:vAlign w:val="top"/>
          </w:tcPr>
          <w:p>
            <w:pPr>
              <w:jc w:val="left"/>
              <w:rPr>
                <w:rFonts w:ascii="仿宋" w:hAnsi="仿宋" w:eastAsia="仿宋"/>
                <w:color w:val="auto"/>
                <w:szCs w:val="21"/>
                <w:highlight w:val="none"/>
              </w:rPr>
            </w:pPr>
            <w:r>
              <w:rPr>
                <w:rFonts w:hint="eastAsia" w:ascii="仿宋" w:hAnsi="仿宋" w:eastAsia="仿宋"/>
                <w:color w:val="auto"/>
                <w:szCs w:val="21"/>
                <w:highlight w:val="none"/>
              </w:rPr>
              <w:t>评标方法：综合评分法（新价格分算法）</w:t>
            </w:r>
          </w:p>
          <w:p>
            <w:pPr>
              <w:jc w:val="left"/>
              <w:rPr>
                <w:rFonts w:ascii="仿宋" w:hAnsi="仿宋" w:eastAsia="仿宋"/>
                <w:color w:val="auto"/>
                <w:szCs w:val="21"/>
                <w:highlight w:val="none"/>
              </w:rPr>
            </w:pPr>
            <w:r>
              <w:rPr>
                <w:rFonts w:hint="eastAsia" w:ascii="仿宋" w:hAnsi="仿宋" w:eastAsia="仿宋"/>
                <w:color w:val="auto"/>
                <w:szCs w:val="21"/>
                <w:highlight w:val="none"/>
              </w:rPr>
              <w:t xml:space="preserve">综合评分法，是指投标文件满足招标文件全部实质性要求，且按照评审因素的量化指标评审得分最高的投标人为中标候选人的评标方法。 </w:t>
            </w:r>
          </w:p>
          <w:p>
            <w:pPr>
              <w:jc w:val="left"/>
              <w:rPr>
                <w:rFonts w:ascii="仿宋" w:hAnsi="仿宋" w:eastAsia="仿宋"/>
                <w:color w:val="auto"/>
                <w:szCs w:val="21"/>
                <w:highlight w:val="none"/>
              </w:rPr>
            </w:pPr>
            <w:r>
              <w:rPr>
                <w:rFonts w:hint="eastAsia" w:ascii="仿宋" w:hAnsi="仿宋" w:eastAsia="仿宋"/>
                <w:color w:val="auto"/>
                <w:szCs w:val="21"/>
                <w:highlight w:val="none"/>
              </w:rPr>
              <w:t>价格分计算方法：</w:t>
            </w:r>
          </w:p>
          <w:p>
            <w:pPr>
              <w:jc w:val="left"/>
              <w:rPr>
                <w:rFonts w:ascii="仿宋" w:hAnsi="仿宋" w:eastAsia="仿宋"/>
                <w:color w:val="auto"/>
                <w:szCs w:val="21"/>
                <w:highlight w:val="none"/>
              </w:rPr>
            </w:pPr>
            <w:r>
              <w:rPr>
                <w:rFonts w:hint="eastAsia" w:ascii="仿宋" w:hAnsi="仿宋" w:eastAsia="仿宋"/>
                <w:color w:val="auto"/>
                <w:szCs w:val="21"/>
                <w:highlight w:val="none"/>
              </w:rPr>
              <w:t xml:space="preserve">采用低价优先法计算，即满足招标文件要求且投标价格最低的投标报价为评标基准价，其价格分为满分。其他投标人的价格分统一按照下列公式计算：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投标报价得分=(评标基准价／投标报价)×100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评标总得分＝F1×A1＋F2×A2＋……＋Fn×An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F1、F2……Fn分别为各项评审因素的得分；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A1、A2、……An 分别为各项评审因素所占的权重(A1＋A2＋……＋An＝1)。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评标过程中，不得去掉报价中的最高报价和最低报价。 </w:t>
            </w:r>
            <w:r>
              <w:rPr>
                <w:rFonts w:hint="eastAsia" w:ascii="仿宋" w:hAnsi="仿宋" w:eastAsia="仿宋"/>
                <w:color w:val="auto"/>
                <w:szCs w:val="21"/>
                <w:highlight w:val="none"/>
              </w:rPr>
              <w:br w:type="textWrapping"/>
            </w:r>
            <w:r>
              <w:rPr>
                <w:rFonts w:hint="eastAsia" w:ascii="仿宋" w:hAnsi="仿宋" w:eastAsia="仿宋"/>
                <w:color w:val="auto"/>
                <w:szCs w:val="21"/>
                <w:highlight w:val="none"/>
              </w:rPr>
              <w:t xml:space="preserve">    此方法适用于货物类、服务类、工程类项目。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序号</w:t>
            </w:r>
          </w:p>
        </w:tc>
        <w:tc>
          <w:tcPr>
            <w:tcW w:w="204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评分项</w:t>
            </w:r>
          </w:p>
        </w:tc>
        <w:tc>
          <w:tcPr>
            <w:tcW w:w="438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1</w:t>
            </w:r>
          </w:p>
        </w:tc>
        <w:tc>
          <w:tcPr>
            <w:tcW w:w="204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价格</w:t>
            </w:r>
          </w:p>
        </w:tc>
        <w:tc>
          <w:tcPr>
            <w:tcW w:w="438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hint="eastAsia" w:ascii="仿宋" w:hAnsi="仿宋" w:eastAsia="仿宋"/>
                <w:color w:val="auto"/>
                <w:szCs w:val="21"/>
                <w:highlight w:val="none"/>
                <w:lang w:val="en-US" w:eastAsia="zh-CN"/>
              </w:rPr>
              <w:t>2</w:t>
            </w:r>
            <w:r>
              <w:rPr>
                <w:rFonts w:ascii="仿宋" w:hAnsi="仿宋" w:eastAsia="仿宋"/>
                <w:color w:val="auto"/>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2</w:t>
            </w:r>
          </w:p>
        </w:tc>
        <w:tc>
          <w:tcPr>
            <w:tcW w:w="204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技术</w:t>
            </w:r>
          </w:p>
        </w:tc>
        <w:tc>
          <w:tcPr>
            <w:tcW w:w="438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vMerge w:val="restart"/>
            <w:tcBorders>
              <w:top w:val="single" w:color="auto" w:sz="4" w:space="0"/>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行号</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内容</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权重(%)</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1</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实施方案</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15</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jc w:val="left"/>
              <w:rPr>
                <w:rFonts w:ascii="仿宋" w:hAnsi="仿宋" w:eastAsia="仿宋"/>
                <w:color w:val="auto"/>
                <w:szCs w:val="21"/>
                <w:highlight w:val="none"/>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一）</w:t>
            </w:r>
            <w:r>
              <w:rPr>
                <w:rFonts w:ascii="仿宋" w:hAnsi="仿宋" w:eastAsia="仿宋"/>
                <w:color w:val="auto"/>
                <w:szCs w:val="21"/>
                <w:highlight w:val="none"/>
              </w:rPr>
              <w:t>评审内容：</w:t>
            </w:r>
          </w:p>
          <w:p>
            <w:pPr>
              <w:pStyle w:val="16"/>
              <w:adjustRightInd w:val="0"/>
              <w:ind w:firstLine="0" w:firstLineChars="0"/>
              <w:rPr>
                <w:rFonts w:ascii="仿宋" w:hAnsi="仿宋" w:eastAsia="仿宋" w:cs="仿宋"/>
                <w:szCs w:val="21"/>
              </w:rPr>
            </w:pPr>
            <w:r>
              <w:rPr>
                <w:rFonts w:hint="eastAsia" w:ascii="仿宋" w:hAnsi="仿宋" w:eastAsia="仿宋"/>
                <w:color w:val="auto"/>
                <w:szCs w:val="21"/>
                <w:highlight w:val="none"/>
              </w:rPr>
              <w:t>1.对于</w:t>
            </w:r>
            <w:r>
              <w:rPr>
                <w:rFonts w:hint="eastAsia" w:ascii="仿宋" w:hAnsi="仿宋" w:eastAsia="仿宋" w:cs="仿宋"/>
                <w:szCs w:val="21"/>
              </w:rPr>
              <w:t>广东深圳华侨城国家湿地公园</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基本情况的了解是否全面、深入；</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2.对研究内容是否全面响应；</w:t>
            </w:r>
          </w:p>
          <w:p>
            <w:pPr>
              <w:jc w:val="left"/>
              <w:rPr>
                <w:rFonts w:ascii="仿宋" w:hAnsi="仿宋" w:eastAsia="仿宋"/>
                <w:b/>
                <w:i/>
                <w:color w:val="auto"/>
                <w:szCs w:val="21"/>
                <w:highlight w:val="none"/>
                <w:u w:val="single"/>
              </w:rPr>
            </w:pPr>
            <w:r>
              <w:rPr>
                <w:rFonts w:hint="eastAsia" w:ascii="仿宋" w:hAnsi="仿宋" w:eastAsia="仿宋"/>
                <w:color w:val="auto"/>
                <w:szCs w:val="21"/>
                <w:highlight w:val="none"/>
              </w:rPr>
              <w:t>3.提出的实施方案是否清晰合理，具有可操作性。</w:t>
            </w:r>
          </w:p>
          <w:p>
            <w:pPr>
              <w:jc w:val="left"/>
              <w:rPr>
                <w:rFonts w:hint="eastAsia" w:ascii="仿宋" w:hAnsi="仿宋" w:eastAsia="仿宋" w:cs="仿宋"/>
                <w:szCs w:val="21"/>
              </w:rPr>
            </w:pPr>
            <w:r>
              <w:rPr>
                <w:rFonts w:hint="eastAsia" w:ascii="仿宋" w:hAnsi="仿宋" w:eastAsia="仿宋" w:cs="仿宋"/>
                <w:szCs w:val="21"/>
              </w:rPr>
              <w:t>（二）评审标准：基础评分与横向评分累加总得分为该项的最终分值。</w:t>
            </w:r>
          </w:p>
          <w:p>
            <w:pPr>
              <w:jc w:val="left"/>
              <w:rPr>
                <w:rFonts w:hint="eastAsia" w:ascii="仿宋" w:hAnsi="仿宋" w:eastAsia="仿宋" w:cs="仿宋"/>
                <w:szCs w:val="21"/>
              </w:rPr>
            </w:pPr>
            <w:r>
              <w:rPr>
                <w:rFonts w:hint="eastAsia" w:ascii="仿宋" w:hAnsi="仿宋" w:eastAsia="仿宋" w:cs="仿宋"/>
                <w:szCs w:val="21"/>
              </w:rPr>
              <w:t>基础评分</w:t>
            </w:r>
          </w:p>
          <w:p>
            <w:pPr>
              <w:jc w:val="left"/>
              <w:rPr>
                <w:rFonts w:hint="eastAsia" w:ascii="仿宋" w:hAnsi="仿宋" w:eastAsia="仿宋" w:cs="仿宋"/>
                <w:szCs w:val="21"/>
              </w:rPr>
            </w:pPr>
            <w:r>
              <w:rPr>
                <w:rFonts w:hint="eastAsia" w:ascii="仿宋" w:hAnsi="仿宋" w:eastAsia="仿宋" w:cs="仿宋"/>
                <w:szCs w:val="21"/>
              </w:rPr>
              <w:t>考察</w:t>
            </w:r>
            <w:r>
              <w:rPr>
                <w:rFonts w:hint="eastAsia" w:ascii="仿宋" w:hAnsi="仿宋" w:eastAsia="仿宋" w:cs="仿宋"/>
                <w:szCs w:val="21"/>
                <w:lang w:val="en-US" w:eastAsia="zh-CN"/>
              </w:rPr>
              <w:t>以上</w:t>
            </w:r>
            <w:r>
              <w:rPr>
                <w:rFonts w:hint="eastAsia" w:ascii="仿宋" w:hAnsi="仿宋" w:eastAsia="仿宋" w:cs="仿宋"/>
                <w:szCs w:val="21"/>
              </w:rPr>
              <w:t>评审内容的（1）（2）（3）</w:t>
            </w:r>
            <w:r>
              <w:rPr>
                <w:rFonts w:hint="eastAsia" w:ascii="仿宋" w:hAnsi="仿宋" w:eastAsia="仿宋" w:cs="仿宋"/>
                <w:szCs w:val="21"/>
                <w:lang w:val="en-US" w:eastAsia="zh-CN"/>
              </w:rPr>
              <w:t>三</w:t>
            </w:r>
            <w:r>
              <w:rPr>
                <w:rFonts w:hint="eastAsia" w:ascii="仿宋" w:hAnsi="仿宋" w:eastAsia="仿宋" w:cs="仿宋"/>
                <w:szCs w:val="21"/>
              </w:rPr>
              <w:t>点。</w:t>
            </w:r>
            <w:r>
              <w:rPr>
                <w:rFonts w:hint="eastAsia" w:ascii="仿宋" w:hAnsi="仿宋" w:eastAsia="仿宋" w:cs="仿宋"/>
                <w:szCs w:val="21"/>
                <w:lang w:val="en-US" w:eastAsia="zh-CN"/>
              </w:rPr>
              <w:t>三点全满足得60分，</w:t>
            </w:r>
            <w:r>
              <w:rPr>
                <w:rFonts w:hint="eastAsia" w:ascii="仿宋" w:hAnsi="仿宋" w:eastAsia="仿宋" w:cs="仿宋"/>
                <w:szCs w:val="21"/>
              </w:rPr>
              <w:t>满足任意</w:t>
            </w:r>
            <w:r>
              <w:rPr>
                <w:rFonts w:hint="eastAsia" w:ascii="仿宋" w:hAnsi="仿宋" w:eastAsia="仿宋" w:cs="仿宋"/>
                <w:szCs w:val="21"/>
                <w:lang w:val="en-US" w:eastAsia="zh-CN"/>
              </w:rPr>
              <w:t>两</w:t>
            </w:r>
            <w:r>
              <w:rPr>
                <w:rFonts w:hint="eastAsia" w:ascii="仿宋" w:hAnsi="仿宋" w:eastAsia="仿宋" w:cs="仿宋"/>
                <w:szCs w:val="21"/>
              </w:rPr>
              <w:t>点得30分，满足任意一点得10分，未满足不得分。</w:t>
            </w:r>
          </w:p>
          <w:p>
            <w:pPr>
              <w:jc w:val="left"/>
              <w:rPr>
                <w:rFonts w:hint="eastAsia" w:ascii="仿宋" w:hAnsi="仿宋" w:eastAsia="仿宋" w:cs="仿宋"/>
                <w:szCs w:val="21"/>
              </w:rPr>
            </w:pPr>
            <w:r>
              <w:rPr>
                <w:rFonts w:hint="eastAsia" w:ascii="仿宋" w:hAnsi="仿宋" w:eastAsia="仿宋" w:cs="仿宋"/>
                <w:szCs w:val="21"/>
              </w:rPr>
              <w:t>横向评分</w:t>
            </w:r>
          </w:p>
          <w:p>
            <w:pPr>
              <w:jc w:val="left"/>
              <w:rPr>
                <w:rFonts w:hint="eastAsia" w:ascii="仿宋" w:hAnsi="仿宋" w:eastAsia="仿宋" w:cs="仿宋"/>
                <w:szCs w:val="21"/>
              </w:rPr>
            </w:pPr>
            <w:r>
              <w:rPr>
                <w:rFonts w:hint="eastAsia" w:ascii="仿宋" w:hAnsi="仿宋" w:eastAsia="仿宋" w:cs="仿宋"/>
                <w:szCs w:val="21"/>
              </w:rPr>
              <w:t>根据投标人项目实施方案具体响应内容进一步评审。</w:t>
            </w:r>
          </w:p>
          <w:p>
            <w:pPr>
              <w:jc w:val="left"/>
              <w:rPr>
                <w:rFonts w:hint="eastAsia" w:ascii="仿宋" w:hAnsi="仿宋" w:eastAsia="仿宋" w:cs="仿宋"/>
                <w:szCs w:val="21"/>
              </w:rPr>
            </w:pPr>
            <w:r>
              <w:rPr>
                <w:rFonts w:hint="eastAsia" w:ascii="仿宋" w:hAnsi="仿宋" w:eastAsia="仿宋" w:cs="仿宋"/>
                <w:szCs w:val="21"/>
              </w:rPr>
              <w:t>优：以上实施方案的三点内容全面具体、针对性强、可操作性强，加40分；</w:t>
            </w:r>
          </w:p>
          <w:p>
            <w:pPr>
              <w:jc w:val="left"/>
              <w:rPr>
                <w:rFonts w:hint="eastAsia" w:ascii="仿宋" w:hAnsi="仿宋" w:eastAsia="仿宋" w:cs="仿宋"/>
                <w:szCs w:val="21"/>
              </w:rPr>
            </w:pPr>
            <w:r>
              <w:rPr>
                <w:rFonts w:hint="eastAsia" w:ascii="仿宋" w:hAnsi="仿宋" w:eastAsia="仿宋" w:cs="仿宋"/>
                <w:szCs w:val="21"/>
              </w:rPr>
              <w:t>良：以上实施方案的三点内容较全面、针对性较强、可操作性较强，加20分；</w:t>
            </w:r>
          </w:p>
          <w:p>
            <w:pPr>
              <w:jc w:val="left"/>
              <w:rPr>
                <w:rFonts w:hint="eastAsia" w:ascii="仿宋" w:hAnsi="仿宋" w:eastAsia="仿宋" w:cs="仿宋"/>
                <w:szCs w:val="21"/>
              </w:rPr>
            </w:pPr>
            <w:r>
              <w:rPr>
                <w:rFonts w:hint="eastAsia" w:ascii="仿宋" w:hAnsi="仿宋" w:eastAsia="仿宋" w:cs="仿宋"/>
                <w:szCs w:val="21"/>
              </w:rPr>
              <w:t>中：以上实施方案的三点内容完整性、针对性、可操作性均一般，加10分；</w:t>
            </w:r>
          </w:p>
          <w:p>
            <w:pPr>
              <w:jc w:val="left"/>
              <w:rPr>
                <w:rFonts w:ascii="仿宋" w:hAnsi="仿宋" w:eastAsia="仿宋"/>
                <w:color w:val="auto"/>
                <w:szCs w:val="21"/>
                <w:highlight w:val="none"/>
              </w:rPr>
            </w:pPr>
            <w:r>
              <w:rPr>
                <w:rFonts w:hint="eastAsia" w:ascii="仿宋" w:hAnsi="仿宋" w:eastAsia="仿宋" w:cs="仿宋"/>
                <w:szCs w:val="21"/>
              </w:rPr>
              <w:t>差：实施方案内容不科学、不完整、针对性较弱，加0分；如果评审为差，请书面说明理由，并记录存档</w:t>
            </w:r>
            <w:r>
              <w:rPr>
                <w:rFonts w:hint="eastAsia" w:ascii="仿宋" w:hAnsi="仿宋" w:eastAsia="仿宋"/>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2</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项目重点难点分析、应对措施及相关的合理化建议</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ascii="仿宋" w:hAnsi="仿宋" w:eastAsia="仿宋"/>
                <w:color w:val="auto"/>
                <w:szCs w:val="21"/>
                <w:highlight w:val="none"/>
              </w:rPr>
              <w:t>1</w:t>
            </w:r>
            <w:r>
              <w:rPr>
                <w:rFonts w:hint="eastAsia" w:ascii="仿宋" w:hAnsi="仿宋" w:eastAsia="仿宋"/>
                <w:color w:val="auto"/>
                <w:szCs w:val="21"/>
                <w:highlight w:val="none"/>
                <w:lang w:val="en-US" w:eastAsia="zh-CN"/>
              </w:rPr>
              <w:t>0</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pStyle w:val="4"/>
              <w:rPr>
                <w:rFonts w:ascii="仿宋" w:hAnsi="仿宋" w:eastAsia="仿宋"/>
                <w:color w:val="auto"/>
                <w:szCs w:val="21"/>
                <w:highlight w:val="none"/>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一）</w:t>
            </w:r>
            <w:r>
              <w:rPr>
                <w:rFonts w:ascii="仿宋" w:hAnsi="仿宋" w:eastAsia="仿宋"/>
                <w:color w:val="auto"/>
                <w:szCs w:val="21"/>
                <w:highlight w:val="none"/>
              </w:rPr>
              <w:t>评审内容：</w:t>
            </w:r>
          </w:p>
          <w:p>
            <w:pPr>
              <w:pStyle w:val="16"/>
              <w:adjustRightInd w:val="0"/>
              <w:ind w:firstLine="0" w:firstLineChars="0"/>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1.对项目重难点的把握，是否准确、全面，是否符合</w:t>
            </w:r>
            <w:r>
              <w:rPr>
                <w:rFonts w:hint="eastAsia" w:ascii="仿宋" w:hAnsi="仿宋" w:eastAsia="仿宋" w:cs="仿宋"/>
                <w:szCs w:val="21"/>
              </w:rPr>
              <w:t>广东深圳华侨城国家湿地公园</w:t>
            </w:r>
            <w:r>
              <w:rPr>
                <w:rFonts w:hint="eastAsia" w:ascii="仿宋" w:hAnsi="仿宋" w:eastAsia="仿宋" w:cs="Times New Roman"/>
                <w:color w:val="auto"/>
                <w:kern w:val="2"/>
                <w:sz w:val="21"/>
                <w:szCs w:val="21"/>
                <w:highlight w:val="none"/>
                <w:lang w:val="en-US" w:eastAsia="zh-CN" w:bidi="ar-SA"/>
              </w:rPr>
              <w:t>实际情况；</w:t>
            </w:r>
          </w:p>
          <w:p>
            <w:pPr>
              <w:pStyle w:val="16"/>
              <w:adjustRightInd w:val="0"/>
              <w:ind w:firstLine="0" w:firstLineChars="0"/>
              <w:rPr>
                <w:rFonts w:ascii="仿宋" w:hAnsi="仿宋" w:eastAsia="仿宋"/>
                <w:b/>
                <w:i/>
                <w:color w:val="auto"/>
                <w:szCs w:val="21"/>
                <w:highlight w:val="none"/>
                <w:u w:val="single"/>
              </w:rPr>
            </w:pPr>
            <w:r>
              <w:rPr>
                <w:rFonts w:hint="eastAsia" w:ascii="仿宋" w:hAnsi="仿宋" w:eastAsia="仿宋" w:cs="Times New Roman"/>
                <w:color w:val="auto"/>
                <w:kern w:val="2"/>
                <w:sz w:val="21"/>
                <w:szCs w:val="21"/>
                <w:highlight w:val="none"/>
                <w:lang w:val="en-US" w:eastAsia="zh-CN" w:bidi="ar-SA"/>
              </w:rPr>
              <w:t>2.对重难点问题提出的应对措施及合理化建议是否合理且符合</w:t>
            </w:r>
            <w:r>
              <w:rPr>
                <w:rFonts w:hint="eastAsia" w:ascii="仿宋" w:hAnsi="仿宋" w:eastAsia="仿宋" w:cs="仿宋"/>
                <w:szCs w:val="21"/>
              </w:rPr>
              <w:t>广东深圳华侨城国家湿地公园</w:t>
            </w:r>
            <w:r>
              <w:rPr>
                <w:rFonts w:hint="eastAsia" w:ascii="仿宋" w:hAnsi="仿宋" w:eastAsia="仿宋" w:cs="Times New Roman"/>
                <w:color w:val="auto"/>
                <w:kern w:val="2"/>
                <w:sz w:val="21"/>
                <w:szCs w:val="21"/>
                <w:highlight w:val="none"/>
                <w:lang w:val="en-US" w:eastAsia="zh-CN" w:bidi="ar-SA"/>
              </w:rPr>
              <w:t>实际情况。</w:t>
            </w:r>
          </w:p>
          <w:p>
            <w:pPr>
              <w:jc w:val="left"/>
              <w:rPr>
                <w:rFonts w:hint="eastAsia" w:ascii="仿宋" w:hAnsi="仿宋" w:eastAsia="仿宋" w:cs="仿宋"/>
                <w:szCs w:val="21"/>
              </w:rPr>
            </w:pPr>
            <w:r>
              <w:rPr>
                <w:rFonts w:hint="eastAsia" w:ascii="仿宋" w:hAnsi="仿宋" w:eastAsia="仿宋" w:cs="仿宋"/>
                <w:szCs w:val="21"/>
              </w:rPr>
              <w:t>（二）评审标准：基础评分与横向评分累加总得分为该项的最终分值。</w:t>
            </w:r>
          </w:p>
          <w:p>
            <w:pPr>
              <w:jc w:val="left"/>
              <w:rPr>
                <w:rFonts w:hint="eastAsia" w:ascii="仿宋" w:hAnsi="仿宋" w:eastAsia="仿宋" w:cs="仿宋"/>
                <w:szCs w:val="21"/>
              </w:rPr>
            </w:pPr>
            <w:r>
              <w:rPr>
                <w:rFonts w:hint="eastAsia" w:ascii="仿宋" w:hAnsi="仿宋" w:eastAsia="仿宋" w:cs="仿宋"/>
                <w:szCs w:val="21"/>
              </w:rPr>
              <w:t>基础评分</w:t>
            </w:r>
          </w:p>
          <w:p>
            <w:pPr>
              <w:jc w:val="left"/>
              <w:rPr>
                <w:rFonts w:hint="eastAsia" w:ascii="仿宋" w:hAnsi="仿宋" w:eastAsia="仿宋" w:cs="仿宋"/>
                <w:szCs w:val="21"/>
              </w:rPr>
            </w:pPr>
            <w:r>
              <w:rPr>
                <w:rFonts w:hint="eastAsia" w:ascii="仿宋" w:hAnsi="仿宋" w:eastAsia="仿宋" w:cs="仿宋"/>
                <w:szCs w:val="21"/>
              </w:rPr>
              <w:t>考察</w:t>
            </w:r>
            <w:r>
              <w:rPr>
                <w:rFonts w:hint="eastAsia" w:ascii="仿宋" w:hAnsi="仿宋" w:eastAsia="仿宋" w:cs="仿宋"/>
                <w:szCs w:val="21"/>
                <w:lang w:val="en-US" w:eastAsia="zh-CN"/>
              </w:rPr>
              <w:t>以上</w:t>
            </w:r>
            <w:r>
              <w:rPr>
                <w:rFonts w:hint="eastAsia" w:ascii="仿宋" w:hAnsi="仿宋" w:eastAsia="仿宋" w:cs="仿宋"/>
                <w:szCs w:val="21"/>
              </w:rPr>
              <w:t>评审内容的（1）（2）（3）</w:t>
            </w:r>
            <w:r>
              <w:rPr>
                <w:rFonts w:hint="eastAsia" w:ascii="仿宋" w:hAnsi="仿宋" w:eastAsia="仿宋" w:cs="仿宋"/>
                <w:szCs w:val="21"/>
                <w:lang w:val="en-US" w:eastAsia="zh-CN"/>
              </w:rPr>
              <w:t>三</w:t>
            </w:r>
            <w:r>
              <w:rPr>
                <w:rFonts w:hint="eastAsia" w:ascii="仿宋" w:hAnsi="仿宋" w:eastAsia="仿宋" w:cs="仿宋"/>
                <w:szCs w:val="21"/>
              </w:rPr>
              <w:t>点。</w:t>
            </w:r>
            <w:r>
              <w:rPr>
                <w:rFonts w:hint="eastAsia" w:ascii="仿宋" w:hAnsi="仿宋" w:eastAsia="仿宋" w:cs="仿宋"/>
                <w:szCs w:val="21"/>
                <w:lang w:val="en-US" w:eastAsia="zh-CN"/>
              </w:rPr>
              <w:t>三点全满足得60分，</w:t>
            </w:r>
            <w:r>
              <w:rPr>
                <w:rFonts w:hint="eastAsia" w:ascii="仿宋" w:hAnsi="仿宋" w:eastAsia="仿宋" w:cs="仿宋"/>
                <w:szCs w:val="21"/>
              </w:rPr>
              <w:t>满足任意</w:t>
            </w:r>
            <w:r>
              <w:rPr>
                <w:rFonts w:hint="eastAsia" w:ascii="仿宋" w:hAnsi="仿宋" w:eastAsia="仿宋" w:cs="仿宋"/>
                <w:szCs w:val="21"/>
                <w:lang w:val="en-US" w:eastAsia="zh-CN"/>
              </w:rPr>
              <w:t>两</w:t>
            </w:r>
            <w:r>
              <w:rPr>
                <w:rFonts w:hint="eastAsia" w:ascii="仿宋" w:hAnsi="仿宋" w:eastAsia="仿宋" w:cs="仿宋"/>
                <w:szCs w:val="21"/>
              </w:rPr>
              <w:t>点得30分，满足任意一点得10分，未满足不得分。</w:t>
            </w:r>
          </w:p>
          <w:p>
            <w:pPr>
              <w:jc w:val="left"/>
              <w:rPr>
                <w:rFonts w:hint="eastAsia" w:ascii="仿宋" w:hAnsi="仿宋" w:eastAsia="仿宋" w:cs="仿宋"/>
                <w:szCs w:val="21"/>
              </w:rPr>
            </w:pPr>
            <w:r>
              <w:rPr>
                <w:rFonts w:hint="eastAsia" w:ascii="仿宋" w:hAnsi="仿宋" w:eastAsia="仿宋" w:cs="仿宋"/>
                <w:szCs w:val="21"/>
              </w:rPr>
              <w:t>横向评分</w:t>
            </w:r>
          </w:p>
          <w:p>
            <w:pPr>
              <w:jc w:val="left"/>
              <w:rPr>
                <w:rFonts w:hint="eastAsia" w:ascii="仿宋" w:hAnsi="仿宋" w:eastAsia="仿宋" w:cs="仿宋"/>
                <w:szCs w:val="21"/>
              </w:rPr>
            </w:pPr>
            <w:r>
              <w:rPr>
                <w:rFonts w:hint="eastAsia" w:ascii="仿宋" w:hAnsi="仿宋" w:eastAsia="仿宋" w:cs="仿宋"/>
                <w:szCs w:val="21"/>
              </w:rPr>
              <w:t>根据投标人项目实施方案具体响应内容进一步评审。</w:t>
            </w:r>
          </w:p>
          <w:p>
            <w:pPr>
              <w:jc w:val="left"/>
              <w:rPr>
                <w:rFonts w:hint="eastAsia" w:ascii="仿宋" w:hAnsi="仿宋" w:eastAsia="仿宋" w:cs="仿宋"/>
                <w:szCs w:val="21"/>
              </w:rPr>
            </w:pPr>
            <w:r>
              <w:rPr>
                <w:rFonts w:hint="eastAsia" w:ascii="仿宋" w:hAnsi="仿宋" w:eastAsia="仿宋" w:cs="仿宋"/>
                <w:szCs w:val="21"/>
              </w:rPr>
              <w:t>优：以上实施方案的三点内容全面具体、针对性强、可操作性强，加40分；</w:t>
            </w:r>
          </w:p>
          <w:p>
            <w:pPr>
              <w:jc w:val="left"/>
              <w:rPr>
                <w:rFonts w:hint="eastAsia" w:ascii="仿宋" w:hAnsi="仿宋" w:eastAsia="仿宋" w:cs="仿宋"/>
                <w:szCs w:val="21"/>
              </w:rPr>
            </w:pPr>
            <w:r>
              <w:rPr>
                <w:rFonts w:hint="eastAsia" w:ascii="仿宋" w:hAnsi="仿宋" w:eastAsia="仿宋" w:cs="仿宋"/>
                <w:szCs w:val="21"/>
              </w:rPr>
              <w:t>良：以上实施方案的三点内容较全面、针对性较强、可操作性较强，加20分；</w:t>
            </w:r>
          </w:p>
          <w:p>
            <w:pPr>
              <w:jc w:val="left"/>
              <w:rPr>
                <w:rFonts w:hint="eastAsia" w:ascii="仿宋" w:hAnsi="仿宋" w:eastAsia="仿宋" w:cs="仿宋"/>
                <w:szCs w:val="21"/>
              </w:rPr>
            </w:pPr>
            <w:r>
              <w:rPr>
                <w:rFonts w:hint="eastAsia" w:ascii="仿宋" w:hAnsi="仿宋" w:eastAsia="仿宋" w:cs="仿宋"/>
                <w:szCs w:val="21"/>
              </w:rPr>
              <w:t>中：以上实施方案的三点内容完整性、针对性、可操作性均一般，加10分；</w:t>
            </w:r>
          </w:p>
          <w:p>
            <w:pPr>
              <w:jc w:val="left"/>
              <w:rPr>
                <w:rFonts w:hint="eastAsia" w:ascii="仿宋" w:hAnsi="仿宋" w:eastAsia="仿宋"/>
                <w:color w:val="auto"/>
                <w:szCs w:val="21"/>
                <w:highlight w:val="none"/>
                <w:lang w:eastAsia="zh-CN"/>
              </w:rPr>
            </w:pPr>
            <w:r>
              <w:rPr>
                <w:rFonts w:hint="eastAsia" w:ascii="仿宋" w:hAnsi="仿宋" w:eastAsia="仿宋" w:cs="仿宋"/>
                <w:szCs w:val="21"/>
              </w:rPr>
              <w:t>差：实施方案内容不科学、不完整、针对性较弱，加0分；如果评审为差，请书面说明理由，并记录存档</w:t>
            </w:r>
            <w:r>
              <w:rPr>
                <w:rFonts w:hint="eastAsia" w:ascii="仿宋" w:hAnsi="仿宋" w:eastAsia="仿宋" w:cs="仿宋"/>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3</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质量（完成时间、安全、环保）保障措施及方案</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5</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jc w:val="left"/>
              <w:rPr>
                <w:rFonts w:ascii="仿宋" w:hAnsi="仿宋" w:eastAsia="仿宋"/>
                <w:color w:val="auto"/>
                <w:szCs w:val="21"/>
                <w:highlight w:val="none"/>
              </w:rPr>
            </w:pPr>
            <w:r>
              <w:rPr>
                <w:rFonts w:hint="eastAsia" w:ascii="仿宋" w:hAnsi="仿宋" w:eastAsia="仿宋"/>
                <w:color w:val="auto"/>
                <w:szCs w:val="21"/>
                <w:highlight w:val="none"/>
                <w:lang w:eastAsia="zh-CN"/>
              </w:rPr>
              <w:t>（</w:t>
            </w:r>
            <w:r>
              <w:rPr>
                <w:rFonts w:hint="eastAsia" w:ascii="仿宋" w:hAnsi="仿宋" w:eastAsia="仿宋"/>
                <w:color w:val="auto"/>
                <w:szCs w:val="21"/>
                <w:highlight w:val="none"/>
                <w:lang w:val="en-US" w:eastAsia="zh-CN"/>
              </w:rPr>
              <w:t>一）</w:t>
            </w:r>
            <w:r>
              <w:rPr>
                <w:rFonts w:ascii="仿宋" w:hAnsi="仿宋" w:eastAsia="仿宋"/>
                <w:color w:val="auto"/>
                <w:szCs w:val="21"/>
                <w:highlight w:val="none"/>
              </w:rPr>
              <w:t>评审内容：</w:t>
            </w:r>
          </w:p>
          <w:p>
            <w:pPr>
              <w:pStyle w:val="4"/>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1.项目进度控制是否合理；</w:t>
            </w:r>
          </w:p>
          <w:p>
            <w:pPr>
              <w:pStyle w:val="4"/>
              <w:jc w:val="left"/>
              <w:rPr>
                <w:rFonts w:hint="eastAsia" w:ascii="仿宋" w:hAnsi="仿宋" w:eastAsia="仿宋" w:cs="Times New Roman"/>
                <w:color w:val="auto"/>
                <w:kern w:val="2"/>
                <w:sz w:val="21"/>
                <w:szCs w:val="21"/>
                <w:highlight w:val="none"/>
                <w:lang w:val="en-US" w:eastAsia="zh-CN" w:bidi="ar-SA"/>
              </w:rPr>
            </w:pPr>
            <w:r>
              <w:rPr>
                <w:rFonts w:hint="eastAsia" w:ascii="仿宋" w:hAnsi="仿宋" w:eastAsia="仿宋" w:cs="Times New Roman"/>
                <w:color w:val="auto"/>
                <w:kern w:val="2"/>
                <w:sz w:val="21"/>
                <w:szCs w:val="21"/>
                <w:highlight w:val="none"/>
                <w:lang w:val="en-US" w:eastAsia="zh-CN" w:bidi="ar-SA"/>
              </w:rPr>
              <w:t>2.项目实施涉及的保障措施安排是否全面；</w:t>
            </w:r>
          </w:p>
          <w:p>
            <w:pPr>
              <w:pStyle w:val="4"/>
              <w:jc w:val="left"/>
            </w:pPr>
            <w:r>
              <w:rPr>
                <w:rFonts w:hint="eastAsia" w:ascii="仿宋" w:hAnsi="仿宋" w:eastAsia="仿宋" w:cs="Times New Roman"/>
                <w:color w:val="auto"/>
                <w:kern w:val="2"/>
                <w:sz w:val="21"/>
                <w:szCs w:val="21"/>
                <w:highlight w:val="none"/>
                <w:lang w:val="en-US" w:eastAsia="zh-CN" w:bidi="ar-SA"/>
              </w:rPr>
              <w:t>3.项目整体质量控制是否满足任务要求。</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（二）评审标准：基础评分与横向评分累加总得分为该项的最终分值。</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基础评分</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考察</w:t>
            </w:r>
            <w:r>
              <w:rPr>
                <w:rFonts w:hint="eastAsia" w:ascii="仿宋" w:hAnsi="仿宋" w:eastAsia="仿宋"/>
                <w:color w:val="auto"/>
                <w:szCs w:val="21"/>
                <w:highlight w:val="none"/>
                <w:lang w:val="en-US" w:eastAsia="zh-CN"/>
              </w:rPr>
              <w:t>以上</w:t>
            </w:r>
            <w:r>
              <w:rPr>
                <w:rFonts w:hint="eastAsia" w:ascii="仿宋" w:hAnsi="仿宋" w:eastAsia="仿宋"/>
                <w:color w:val="auto"/>
                <w:szCs w:val="21"/>
                <w:highlight w:val="none"/>
              </w:rPr>
              <w:t>评审内容的（1）（2）（3）</w:t>
            </w:r>
            <w:r>
              <w:rPr>
                <w:rFonts w:hint="eastAsia" w:ascii="仿宋" w:hAnsi="仿宋" w:eastAsia="仿宋"/>
                <w:color w:val="auto"/>
                <w:szCs w:val="21"/>
                <w:highlight w:val="none"/>
                <w:lang w:val="en-US" w:eastAsia="zh-CN"/>
              </w:rPr>
              <w:t>三</w:t>
            </w:r>
            <w:r>
              <w:rPr>
                <w:rFonts w:hint="eastAsia" w:ascii="仿宋" w:hAnsi="仿宋" w:eastAsia="仿宋"/>
                <w:color w:val="auto"/>
                <w:szCs w:val="21"/>
                <w:highlight w:val="none"/>
              </w:rPr>
              <w:t>点。</w:t>
            </w:r>
            <w:r>
              <w:rPr>
                <w:rFonts w:hint="eastAsia" w:ascii="仿宋" w:hAnsi="仿宋" w:eastAsia="仿宋"/>
                <w:color w:val="auto"/>
                <w:szCs w:val="21"/>
                <w:highlight w:val="none"/>
                <w:lang w:val="en-US" w:eastAsia="zh-CN"/>
              </w:rPr>
              <w:t>三点全满足得60分，</w:t>
            </w:r>
            <w:r>
              <w:rPr>
                <w:rFonts w:hint="eastAsia" w:ascii="仿宋" w:hAnsi="仿宋" w:eastAsia="仿宋"/>
                <w:color w:val="auto"/>
                <w:szCs w:val="21"/>
                <w:highlight w:val="none"/>
              </w:rPr>
              <w:t>满足任意</w:t>
            </w:r>
            <w:r>
              <w:rPr>
                <w:rFonts w:hint="eastAsia" w:ascii="仿宋" w:hAnsi="仿宋" w:eastAsia="仿宋"/>
                <w:color w:val="auto"/>
                <w:szCs w:val="21"/>
                <w:highlight w:val="none"/>
                <w:lang w:val="en-US" w:eastAsia="zh-CN"/>
              </w:rPr>
              <w:t>两</w:t>
            </w:r>
            <w:r>
              <w:rPr>
                <w:rFonts w:hint="eastAsia" w:ascii="仿宋" w:hAnsi="仿宋" w:eastAsia="仿宋"/>
                <w:color w:val="auto"/>
                <w:szCs w:val="21"/>
                <w:highlight w:val="none"/>
              </w:rPr>
              <w:t>点得30分，满足任意一点得10分，未满足不得分。</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横向评分</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根据投标人项目实施方案具体响应内容进一步评审。</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优：以上实施方案的三点内容全面具体、针对性强、可操作性强，加40分；</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良：以上实施方案的三点内容较全面、针对性较强、可操作性较强，加20分；</w:t>
            </w:r>
          </w:p>
          <w:p>
            <w:pPr>
              <w:jc w:val="left"/>
              <w:rPr>
                <w:rFonts w:hint="eastAsia" w:ascii="仿宋" w:hAnsi="仿宋" w:eastAsia="仿宋"/>
                <w:color w:val="auto"/>
                <w:szCs w:val="21"/>
                <w:highlight w:val="none"/>
              </w:rPr>
            </w:pPr>
            <w:r>
              <w:rPr>
                <w:rFonts w:hint="eastAsia" w:ascii="仿宋" w:hAnsi="仿宋" w:eastAsia="仿宋"/>
                <w:color w:val="auto"/>
                <w:szCs w:val="21"/>
                <w:highlight w:val="none"/>
              </w:rPr>
              <w:t>中：以上实施方案的三点内容完整性、针对性、可操作性均一般，加10分；</w:t>
            </w:r>
          </w:p>
          <w:p>
            <w:pPr>
              <w:jc w:val="left"/>
              <w:rPr>
                <w:rFonts w:ascii="仿宋" w:hAnsi="仿宋" w:eastAsia="仿宋"/>
                <w:color w:val="auto"/>
                <w:szCs w:val="21"/>
                <w:highlight w:val="none"/>
              </w:rPr>
            </w:pPr>
            <w:r>
              <w:rPr>
                <w:rFonts w:hint="eastAsia" w:ascii="仿宋" w:hAnsi="仿宋" w:eastAsia="仿宋"/>
                <w:color w:val="auto"/>
                <w:szCs w:val="21"/>
                <w:highlight w:val="none"/>
              </w:rPr>
              <w:t>差：实施方案内容不科学、不完整、针对性较弱，加0分；如果评审为差，请书面说明理由，并记录存档。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4</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项目完成（服务期满）后的服务承诺</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3</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（一）评审内容：</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投标人承诺与采购方保持密切沟通，服务期满后一年内随时跟进项目后续的服务需求。</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（二）评审标准：</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1.实行承诺制，投标人承诺达到以上要求即得100分。</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2.未提供承诺的得0分。</w:t>
            </w:r>
          </w:p>
          <w:p>
            <w:pPr>
              <w:rPr>
                <w:rFonts w:ascii="仿宋" w:hAnsi="仿宋" w:eastAsia="仿宋"/>
                <w:color w:val="auto"/>
                <w:szCs w:val="21"/>
                <w:highlight w:val="none"/>
              </w:rPr>
            </w:pPr>
            <w:r>
              <w:rPr>
                <w:rFonts w:hint="eastAsia" w:ascii="仿宋" w:hAnsi="仿宋" w:eastAsia="仿宋" w:cs="Times New Roman"/>
                <w:color w:val="auto"/>
                <w:sz w:val="21"/>
                <w:szCs w:val="21"/>
                <w:highlight w:val="none"/>
              </w:rPr>
              <w:t>要求提供承诺（格式自定）作为得分依据。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5</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违约承诺</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2</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（一）评审内容：</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针对项目实际情况提供违约承诺函（格式自</w:t>
            </w:r>
            <w:r>
              <w:rPr>
                <w:rFonts w:hint="eastAsia" w:ascii="仿宋" w:hAnsi="仿宋" w:eastAsia="仿宋" w:cs="Times New Roman"/>
                <w:color w:val="auto"/>
                <w:sz w:val="21"/>
                <w:szCs w:val="21"/>
                <w:highlight w:val="none"/>
                <w:lang w:val="en-US" w:eastAsia="zh-CN"/>
              </w:rPr>
              <w:t>定</w:t>
            </w:r>
            <w:r>
              <w:rPr>
                <w:rFonts w:hint="eastAsia" w:ascii="仿宋" w:hAnsi="仿宋" w:eastAsia="仿宋" w:cs="Times New Roman"/>
                <w:color w:val="auto"/>
                <w:sz w:val="21"/>
                <w:szCs w:val="21"/>
                <w:highlight w:val="none"/>
              </w:rPr>
              <w:t>）。</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（二）评分标准：</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1.</w:t>
            </w:r>
            <w:r>
              <w:rPr>
                <w:rFonts w:hint="eastAsia" w:ascii="仿宋" w:hAnsi="仿宋" w:eastAsia="仿宋" w:cs="Times New Roman"/>
                <w:color w:val="auto"/>
                <w:sz w:val="21"/>
                <w:szCs w:val="21"/>
                <w:highlight w:val="none"/>
                <w:lang w:val="en-US" w:eastAsia="zh-CN"/>
              </w:rPr>
              <w:t>提供</w:t>
            </w:r>
            <w:r>
              <w:rPr>
                <w:rFonts w:hint="eastAsia" w:ascii="仿宋" w:hAnsi="仿宋" w:eastAsia="仿宋" w:cs="Times New Roman"/>
                <w:color w:val="auto"/>
                <w:sz w:val="21"/>
                <w:szCs w:val="21"/>
                <w:highlight w:val="none"/>
              </w:rPr>
              <w:t>责任承诺，得100分。</w:t>
            </w:r>
          </w:p>
          <w:p>
            <w:pPr>
              <w:numPr>
                <w:ilvl w:val="0"/>
                <w:numId w:val="0"/>
              </w:numPr>
              <w:spacing w:after="0" w:line="240" w:lineRule="auto"/>
              <w:jc w:val="left"/>
              <w:rPr>
                <w:rFonts w:hint="eastAsia" w:ascii="仿宋" w:hAnsi="仿宋" w:eastAsia="仿宋" w:cs="Times New Roman"/>
                <w:color w:val="auto"/>
                <w:sz w:val="21"/>
                <w:szCs w:val="21"/>
                <w:highlight w:val="none"/>
              </w:rPr>
            </w:pPr>
            <w:r>
              <w:rPr>
                <w:rFonts w:hint="eastAsia" w:ascii="仿宋" w:hAnsi="仿宋" w:eastAsia="仿宋" w:cs="Times New Roman"/>
                <w:color w:val="auto"/>
                <w:sz w:val="21"/>
                <w:szCs w:val="21"/>
                <w:highlight w:val="none"/>
              </w:rPr>
              <w:t>2.未提供违约承诺的得0分。</w:t>
            </w:r>
          </w:p>
          <w:p>
            <w:pPr>
              <w:numPr>
                <w:ilvl w:val="0"/>
                <w:numId w:val="0"/>
              </w:numPr>
              <w:rPr>
                <w:rFonts w:ascii="仿宋" w:hAnsi="仿宋" w:eastAsia="仿宋"/>
                <w:b/>
                <w:i/>
                <w:color w:val="auto"/>
                <w:szCs w:val="21"/>
                <w:highlight w:val="none"/>
                <w:u w:val="single"/>
              </w:rPr>
            </w:pPr>
            <w:r>
              <w:rPr>
                <w:rFonts w:hint="eastAsia" w:ascii="仿宋" w:hAnsi="仿宋" w:eastAsia="仿宋" w:cs="Times New Roman"/>
                <w:color w:val="auto"/>
                <w:sz w:val="21"/>
                <w:szCs w:val="21"/>
                <w:highlight w:val="none"/>
              </w:rPr>
              <w:t>要求提供承诺（格式自定）作为得分依据。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3</w:t>
            </w:r>
          </w:p>
        </w:tc>
        <w:tc>
          <w:tcPr>
            <w:tcW w:w="204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综合实力</w:t>
            </w:r>
          </w:p>
        </w:tc>
        <w:tc>
          <w:tcPr>
            <w:tcW w:w="438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rPr>
            </w:pPr>
            <w:r>
              <w:rPr>
                <w:rFonts w:hint="eastAsia" w:ascii="仿宋" w:hAnsi="仿宋" w:eastAsia="仿宋"/>
                <w:color w:val="auto"/>
                <w:szCs w:val="21"/>
                <w:highlight w:val="none"/>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vMerge w:val="restart"/>
            <w:tcBorders>
              <w:top w:val="single" w:color="auto" w:sz="4" w:space="0"/>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行号</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内容</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权重</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1</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ascii="仿宋" w:hAnsi="仿宋" w:eastAsia="仿宋"/>
                <w:color w:val="auto"/>
                <w:szCs w:val="21"/>
                <w:highlight w:val="none"/>
              </w:rPr>
              <w:t>投标人通过相关认证情况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5</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1"/>
              </w:numPr>
              <w:kinsoku/>
              <w:wordWrap/>
              <w:overflowPunct/>
              <w:topLinePunct w:val="0"/>
              <w:autoSpaceDE/>
              <w:autoSpaceDN/>
              <w:bidi w:val="0"/>
              <w:adjustRightInd/>
              <w:snapToGrid/>
              <w:textAlignment w:val="auto"/>
            </w:pPr>
            <w:r>
              <w:rPr>
                <w:rFonts w:ascii="仿宋" w:hAnsi="仿宋" w:eastAsia="仿宋"/>
                <w:color w:val="auto"/>
                <w:szCs w:val="21"/>
                <w:highlight w:val="none"/>
              </w:rPr>
              <w:t>评分内容：</w:t>
            </w:r>
          </w:p>
          <w:p>
            <w:pPr>
              <w:numPr>
                <w:ilvl w:val="0"/>
                <w:numId w:val="0"/>
              </w:numPr>
              <w:spacing w:after="0" w:line="240" w:lineRule="auto"/>
              <w:jc w:val="left"/>
            </w:pPr>
            <w:r>
              <w:rPr>
                <w:rFonts w:hint="eastAsia" w:ascii="仿宋" w:hAnsi="仿宋" w:eastAsia="仿宋" w:cs="Times New Roman"/>
                <w:color w:val="auto"/>
                <w:sz w:val="21"/>
                <w:szCs w:val="21"/>
                <w:highlight w:val="none"/>
              </w:rPr>
              <w:t>投标人通过以下认证的：</w:t>
            </w:r>
          </w:p>
          <w:p>
            <w:pPr>
              <w:spacing w:after="0" w:line="240" w:lineRule="auto"/>
              <w:jc w:val="lef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1.</w:t>
            </w:r>
            <w:r>
              <w:rPr>
                <w:rFonts w:hint="eastAsia" w:ascii="仿宋" w:hAnsi="仿宋" w:eastAsia="仿宋"/>
                <w:color w:val="auto"/>
                <w:szCs w:val="21"/>
                <w:highlight w:val="none"/>
              </w:rPr>
              <w:t>投标人为科研院校的，国家和省部属科研院校（包括副省级地方院校）得</w:t>
            </w:r>
            <w:r>
              <w:rPr>
                <w:rFonts w:hint="eastAsia" w:ascii="仿宋" w:hAnsi="仿宋" w:eastAsia="仿宋"/>
                <w:color w:val="auto"/>
                <w:szCs w:val="21"/>
                <w:highlight w:val="none"/>
                <w:lang w:val="en-US" w:eastAsia="zh-CN"/>
              </w:rPr>
              <w:t>50</w:t>
            </w:r>
            <w:r>
              <w:rPr>
                <w:rFonts w:hint="eastAsia" w:ascii="仿宋" w:hAnsi="仿宋" w:eastAsia="仿宋"/>
                <w:color w:val="auto"/>
                <w:szCs w:val="21"/>
                <w:highlight w:val="none"/>
              </w:rPr>
              <w:t>分；地方科研院校</w:t>
            </w:r>
            <w:r>
              <w:rPr>
                <w:rFonts w:hint="eastAsia" w:ascii="仿宋" w:hAnsi="仿宋" w:eastAsia="仿宋"/>
                <w:color w:val="auto"/>
                <w:szCs w:val="21"/>
                <w:highlight w:val="none"/>
                <w:lang w:val="en-US" w:eastAsia="zh-CN"/>
              </w:rPr>
              <w:t>30</w:t>
            </w:r>
            <w:r>
              <w:rPr>
                <w:rFonts w:hint="eastAsia" w:ascii="仿宋" w:hAnsi="仿宋" w:eastAsia="仿宋"/>
                <w:color w:val="auto"/>
                <w:szCs w:val="21"/>
                <w:highlight w:val="none"/>
              </w:rPr>
              <w:t>分；其他级别科研院校的的</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w:t>
            </w:r>
          </w:p>
          <w:p>
            <w:pPr>
              <w:spacing w:after="0" w:line="240" w:lineRule="auto"/>
              <w:jc w:val="left"/>
              <w:rPr>
                <w:rFonts w:ascii="仿宋" w:hAnsi="仿宋" w:eastAsia="仿宋"/>
                <w:color w:val="auto"/>
                <w:szCs w:val="21"/>
                <w:highlight w:val="none"/>
              </w:rPr>
            </w:pPr>
            <w:r>
              <w:rPr>
                <w:rFonts w:hint="eastAsia" w:ascii="仿宋" w:hAnsi="仿宋" w:eastAsia="仿宋"/>
                <w:color w:val="auto"/>
                <w:szCs w:val="21"/>
                <w:highlight w:val="none"/>
                <w:lang w:val="en-US" w:eastAsia="zh-CN"/>
              </w:rPr>
              <w:t>2.</w:t>
            </w:r>
            <w:r>
              <w:rPr>
                <w:rFonts w:hint="eastAsia" w:ascii="仿宋" w:hAnsi="仿宋" w:eastAsia="仿宋"/>
                <w:color w:val="auto"/>
                <w:szCs w:val="21"/>
                <w:highlight w:val="none"/>
              </w:rPr>
              <w:t>投标人为企业的，</w:t>
            </w:r>
            <w:r>
              <w:rPr>
                <w:rFonts w:hint="eastAsia" w:ascii="仿宋" w:hAnsi="仿宋" w:eastAsia="仿宋"/>
                <w:color w:val="auto"/>
                <w:szCs w:val="21"/>
                <w:highlight w:val="none"/>
                <w:lang w:val="en-US" w:eastAsia="zh-CN"/>
              </w:rPr>
              <w:t>需</w:t>
            </w:r>
            <w:r>
              <w:rPr>
                <w:rFonts w:hint="eastAsia" w:ascii="仿宋" w:hAnsi="仿宋" w:eastAsia="仿宋"/>
                <w:color w:val="auto"/>
                <w:szCs w:val="21"/>
                <w:highlight w:val="none"/>
              </w:rPr>
              <w:t>具有林业调查规划设计资质，甲级的得</w:t>
            </w:r>
            <w:r>
              <w:rPr>
                <w:rFonts w:hint="eastAsia" w:ascii="仿宋" w:hAnsi="仿宋" w:eastAsia="仿宋"/>
                <w:color w:val="auto"/>
                <w:szCs w:val="21"/>
                <w:highlight w:val="none"/>
                <w:lang w:val="en-US" w:eastAsia="zh-CN"/>
              </w:rPr>
              <w:t>50</w:t>
            </w:r>
            <w:r>
              <w:rPr>
                <w:rFonts w:hint="eastAsia" w:ascii="仿宋" w:hAnsi="仿宋" w:eastAsia="仿宋"/>
                <w:color w:val="auto"/>
                <w:szCs w:val="21"/>
                <w:highlight w:val="none"/>
              </w:rPr>
              <w:t>分，乙级</w:t>
            </w:r>
            <w:r>
              <w:rPr>
                <w:rFonts w:hint="eastAsia" w:ascii="仿宋" w:hAnsi="仿宋" w:eastAsia="仿宋"/>
                <w:color w:val="auto"/>
                <w:szCs w:val="21"/>
                <w:highlight w:val="none"/>
                <w:lang w:val="en-US" w:eastAsia="zh-CN"/>
              </w:rPr>
              <w:t>30</w:t>
            </w:r>
            <w:r>
              <w:rPr>
                <w:rFonts w:hint="eastAsia" w:ascii="仿宋" w:hAnsi="仿宋" w:eastAsia="仿宋"/>
                <w:color w:val="auto"/>
                <w:szCs w:val="21"/>
                <w:highlight w:val="none"/>
              </w:rPr>
              <w:t>分，丙级的得</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（二）评分依据：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1.要求提供有效的认证证书作为得分依据。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2</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投标人同类项目业绩情况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rPr>
            </w:pPr>
            <w:r>
              <w:rPr>
                <w:rFonts w:hint="eastAsia" w:ascii="仿宋" w:hAnsi="仿宋" w:eastAsia="仿宋"/>
                <w:color w:val="auto"/>
                <w:szCs w:val="21"/>
                <w:highlight w:val="none"/>
                <w:lang w:val="en-US" w:eastAsia="zh-CN"/>
              </w:rPr>
              <w:t>3</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（一）评分内容：</w:t>
            </w:r>
          </w:p>
          <w:p>
            <w:pPr>
              <w:spacing w:after="160" w:line="240" w:lineRule="exac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1.近5年</w:t>
            </w:r>
            <w:r>
              <w:rPr>
                <w:rFonts w:hint="eastAsia" w:ascii="仿宋" w:hAnsi="仿宋" w:eastAsia="仿宋"/>
                <w:color w:val="auto"/>
                <w:szCs w:val="21"/>
                <w:highlight w:val="none"/>
              </w:rPr>
              <w:t>来</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承担过</w:t>
            </w:r>
            <w:r>
              <w:rPr>
                <w:rFonts w:hint="eastAsia" w:ascii="仿宋" w:hAnsi="仿宋" w:eastAsia="仿宋"/>
                <w:color w:val="auto"/>
                <w:szCs w:val="21"/>
                <w:highlight w:val="none"/>
                <w:lang w:eastAsia="zh-CN"/>
              </w:rPr>
              <w:t>国家</w:t>
            </w:r>
            <w:r>
              <w:rPr>
                <w:rFonts w:hint="eastAsia" w:ascii="仿宋" w:hAnsi="仿宋" w:eastAsia="仿宋"/>
                <w:color w:val="auto"/>
                <w:szCs w:val="21"/>
                <w:highlight w:val="none"/>
              </w:rPr>
              <w:t>级的</w:t>
            </w:r>
            <w:r>
              <w:rPr>
                <w:rFonts w:hint="eastAsia" w:ascii="仿宋" w:hAnsi="仿宋" w:eastAsia="仿宋"/>
                <w:color w:val="auto"/>
                <w:szCs w:val="21"/>
                <w:highlight w:val="none"/>
                <w:lang w:eastAsia="zh-CN"/>
              </w:rPr>
              <w:t>湿地</w:t>
            </w:r>
            <w:r>
              <w:rPr>
                <w:rFonts w:hint="eastAsia" w:ascii="仿宋" w:hAnsi="仿宋" w:eastAsia="仿宋"/>
                <w:color w:val="auto"/>
                <w:szCs w:val="21"/>
                <w:highlight w:val="none"/>
                <w:lang w:val="en-US" w:eastAsia="zh-CN"/>
              </w:rPr>
              <w:t>生态环境类</w:t>
            </w:r>
            <w:r>
              <w:rPr>
                <w:rFonts w:hint="eastAsia" w:ascii="仿宋" w:hAnsi="仿宋" w:eastAsia="仿宋"/>
                <w:color w:val="auto"/>
                <w:szCs w:val="21"/>
                <w:highlight w:val="none"/>
              </w:rPr>
              <w:t>相关项目的，每提供1个得</w:t>
            </w:r>
            <w:r>
              <w:rPr>
                <w:rFonts w:hint="eastAsia" w:ascii="仿宋" w:hAnsi="仿宋" w:eastAsia="仿宋"/>
                <w:color w:val="auto"/>
                <w:szCs w:val="21"/>
                <w:highlight w:val="none"/>
                <w:lang w:val="en-US" w:eastAsia="zh-CN"/>
              </w:rPr>
              <w:t>15</w:t>
            </w:r>
            <w:r>
              <w:rPr>
                <w:rFonts w:hint="eastAsia" w:ascii="仿宋" w:hAnsi="仿宋" w:eastAsia="仿宋"/>
                <w:color w:val="auto"/>
                <w:szCs w:val="21"/>
                <w:highlight w:val="none"/>
              </w:rPr>
              <w:t>分，满分</w:t>
            </w:r>
            <w:r>
              <w:rPr>
                <w:rFonts w:hint="eastAsia" w:ascii="仿宋" w:hAnsi="仿宋" w:eastAsia="仿宋"/>
                <w:color w:val="auto"/>
                <w:szCs w:val="21"/>
                <w:highlight w:val="none"/>
                <w:lang w:val="en-US" w:eastAsia="zh-CN"/>
              </w:rPr>
              <w:t>6</w:t>
            </w:r>
            <w:r>
              <w:rPr>
                <w:rFonts w:hint="eastAsia" w:ascii="仿宋" w:hAnsi="仿宋" w:eastAsia="仿宋"/>
                <w:color w:val="auto"/>
                <w:szCs w:val="21"/>
                <w:highlight w:val="none"/>
              </w:rPr>
              <w:t>0分。</w:t>
            </w:r>
          </w:p>
          <w:p>
            <w:pPr>
              <w:spacing w:after="160" w:line="240" w:lineRule="exact"/>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2.近5年</w:t>
            </w:r>
            <w:r>
              <w:rPr>
                <w:rFonts w:hint="eastAsia" w:ascii="仿宋" w:hAnsi="仿宋" w:eastAsia="仿宋"/>
                <w:color w:val="auto"/>
                <w:szCs w:val="21"/>
                <w:highlight w:val="none"/>
              </w:rPr>
              <w:t>来</w:t>
            </w:r>
            <w:r>
              <w:rPr>
                <w:rFonts w:hint="eastAsia" w:ascii="仿宋" w:hAnsi="仿宋" w:eastAsia="仿宋"/>
                <w:color w:val="auto"/>
                <w:szCs w:val="21"/>
                <w:highlight w:val="none"/>
                <w:lang w:eastAsia="zh-CN"/>
              </w:rPr>
              <w:t>，</w:t>
            </w:r>
            <w:r>
              <w:rPr>
                <w:rFonts w:hint="eastAsia" w:ascii="仿宋" w:hAnsi="仿宋" w:eastAsia="仿宋"/>
                <w:color w:val="auto"/>
                <w:szCs w:val="21"/>
                <w:highlight w:val="none"/>
              </w:rPr>
              <w:t>承担过</w:t>
            </w:r>
            <w:r>
              <w:rPr>
                <w:rFonts w:hint="eastAsia" w:ascii="仿宋" w:hAnsi="仿宋" w:eastAsia="仿宋"/>
                <w:color w:val="auto"/>
                <w:szCs w:val="21"/>
                <w:highlight w:val="none"/>
                <w:lang w:eastAsia="zh-CN"/>
              </w:rPr>
              <w:t>省</w:t>
            </w:r>
            <w:r>
              <w:rPr>
                <w:rFonts w:hint="eastAsia" w:ascii="仿宋" w:hAnsi="仿宋" w:eastAsia="仿宋"/>
                <w:color w:val="auto"/>
                <w:szCs w:val="21"/>
                <w:highlight w:val="none"/>
                <w:lang w:val="en-US" w:eastAsia="zh-CN"/>
              </w:rPr>
              <w:t>市</w:t>
            </w:r>
            <w:r>
              <w:rPr>
                <w:rFonts w:hint="eastAsia" w:ascii="仿宋" w:hAnsi="仿宋" w:eastAsia="仿宋"/>
                <w:color w:val="auto"/>
                <w:szCs w:val="21"/>
                <w:highlight w:val="none"/>
              </w:rPr>
              <w:t>级的</w:t>
            </w:r>
            <w:r>
              <w:rPr>
                <w:rFonts w:hint="eastAsia" w:ascii="仿宋" w:hAnsi="仿宋" w:eastAsia="仿宋"/>
                <w:color w:val="auto"/>
                <w:szCs w:val="21"/>
                <w:highlight w:val="none"/>
                <w:lang w:eastAsia="zh-CN"/>
              </w:rPr>
              <w:t>湿地</w:t>
            </w:r>
            <w:r>
              <w:rPr>
                <w:rFonts w:hint="eastAsia" w:ascii="仿宋" w:hAnsi="仿宋" w:eastAsia="仿宋"/>
                <w:color w:val="auto"/>
                <w:szCs w:val="21"/>
                <w:highlight w:val="none"/>
                <w:lang w:val="en-US" w:eastAsia="zh-CN"/>
              </w:rPr>
              <w:t>生态环境类</w:t>
            </w:r>
            <w:r>
              <w:rPr>
                <w:rFonts w:hint="eastAsia" w:ascii="仿宋" w:hAnsi="仿宋" w:eastAsia="仿宋"/>
                <w:color w:val="auto"/>
                <w:szCs w:val="21"/>
                <w:highlight w:val="none"/>
              </w:rPr>
              <w:t>相关项目的，每提供1个得</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分，满分</w:t>
            </w:r>
            <w:r>
              <w:rPr>
                <w:rFonts w:hint="eastAsia" w:ascii="仿宋" w:hAnsi="仿宋" w:eastAsia="仿宋"/>
                <w:color w:val="auto"/>
                <w:szCs w:val="21"/>
                <w:highlight w:val="none"/>
                <w:lang w:val="en-US" w:eastAsia="zh-CN"/>
              </w:rPr>
              <w:t>4</w:t>
            </w:r>
            <w:r>
              <w:rPr>
                <w:rFonts w:hint="eastAsia" w:ascii="仿宋" w:hAnsi="仿宋" w:eastAsia="仿宋"/>
                <w:color w:val="auto"/>
                <w:szCs w:val="21"/>
                <w:highlight w:val="none"/>
              </w:rPr>
              <w:t>0分。</w:t>
            </w:r>
          </w:p>
          <w:p>
            <w:pPr>
              <w:spacing w:after="160" w:line="240" w:lineRule="exact"/>
              <w:rPr>
                <w:rFonts w:hint="eastAsia" w:ascii="仿宋" w:hAnsi="仿宋" w:eastAsia="仿宋"/>
                <w:color w:val="auto"/>
                <w:szCs w:val="21"/>
                <w:highlight w:val="none"/>
              </w:rPr>
            </w:pPr>
            <w:r>
              <w:rPr>
                <w:rFonts w:hint="eastAsia" w:ascii="仿宋" w:hAnsi="仿宋" w:eastAsia="仿宋"/>
                <w:color w:val="auto"/>
                <w:szCs w:val="21"/>
                <w:highlight w:val="none"/>
                <w:lang w:val="en-US" w:eastAsia="zh-CN"/>
              </w:rPr>
              <w:t>3</w:t>
            </w:r>
            <w:r>
              <w:rPr>
                <w:rFonts w:hint="eastAsia" w:ascii="仿宋" w:hAnsi="仿宋" w:eastAsia="仿宋"/>
                <w:color w:val="auto"/>
                <w:szCs w:val="21"/>
                <w:highlight w:val="none"/>
              </w:rPr>
              <w:t>.本项最高得分</w:t>
            </w:r>
            <w:r>
              <w:rPr>
                <w:rFonts w:hint="eastAsia" w:ascii="仿宋" w:hAnsi="仿宋" w:eastAsia="仿宋"/>
                <w:color w:val="auto"/>
                <w:szCs w:val="21"/>
                <w:highlight w:val="none"/>
                <w:lang w:val="en-US" w:eastAsia="zh-CN"/>
              </w:rPr>
              <w:t>100</w:t>
            </w:r>
            <w:r>
              <w:rPr>
                <w:rFonts w:hint="eastAsia" w:ascii="仿宋" w:hAnsi="仿宋" w:eastAsia="仿宋"/>
                <w:color w:val="auto"/>
                <w:szCs w:val="21"/>
                <w:highlight w:val="none"/>
              </w:rPr>
              <w:t>分，同一项目不重复计分。</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（二）评分依据：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1.要求提供合同关键信息作为得分依据。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2.通过合同关键信息无法判断是否得分的，也可以提供能证明得分的其它证明资料，如项目报告或合同甲方出具的证明文件等。</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3.以上资料均要求提供扫描件，原件备查。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7"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3</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hint="eastAsia" w:ascii="仿宋" w:hAnsi="仿宋" w:eastAsia="仿宋"/>
                <w:color w:val="auto"/>
                <w:szCs w:val="21"/>
                <w:highlight w:val="none"/>
              </w:rPr>
              <w:t>投标人获奖情况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2</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160" w:line="240" w:lineRule="exac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（一）评分内容：</w:t>
            </w:r>
          </w:p>
          <w:p>
            <w:pPr>
              <w:spacing w:after="160" w:line="240" w:lineRule="exac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1. 在湿地、水环境相关自然科学方面获得国家级或省部级奖项的，每提供一个得</w:t>
            </w:r>
            <w:r>
              <w:rPr>
                <w:rFonts w:hint="eastAsia" w:ascii="仿宋" w:hAnsi="仿宋" w:eastAsia="仿宋" w:cs="Times New Roman"/>
                <w:color w:val="auto"/>
                <w:szCs w:val="21"/>
                <w:highlight w:val="none"/>
                <w:lang w:val="en-US" w:eastAsia="zh-CN"/>
              </w:rPr>
              <w:t>3</w:t>
            </w:r>
            <w:r>
              <w:rPr>
                <w:rFonts w:hint="eastAsia" w:ascii="仿宋" w:hAnsi="仿宋" w:eastAsia="仿宋" w:cs="Times New Roman"/>
                <w:color w:val="auto"/>
                <w:szCs w:val="21"/>
                <w:highlight w:val="none"/>
              </w:rPr>
              <w:t>0分</w:t>
            </w:r>
            <w:r>
              <w:rPr>
                <w:rFonts w:hint="eastAsia" w:ascii="仿宋" w:hAnsi="仿宋" w:eastAsia="仿宋" w:cs="Times New Roman"/>
                <w:color w:val="auto"/>
                <w:szCs w:val="21"/>
                <w:highlight w:val="none"/>
                <w:lang w:eastAsia="zh-CN"/>
              </w:rPr>
              <w:t>，</w:t>
            </w:r>
            <w:r>
              <w:rPr>
                <w:rFonts w:hint="eastAsia" w:ascii="仿宋" w:hAnsi="仿宋" w:eastAsia="仿宋" w:cs="Times New Roman"/>
                <w:color w:val="auto"/>
                <w:szCs w:val="21"/>
                <w:highlight w:val="none"/>
              </w:rPr>
              <w:t>满分60分。</w:t>
            </w:r>
          </w:p>
          <w:p>
            <w:pPr>
              <w:spacing w:after="160" w:line="240" w:lineRule="exac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2.在湿地、水环境相关自然科学方面获得市级奖项的，每提供一个得20分</w:t>
            </w:r>
            <w:r>
              <w:rPr>
                <w:rFonts w:hint="eastAsia" w:ascii="仿宋" w:hAnsi="仿宋" w:eastAsia="仿宋" w:cs="Times New Roman"/>
                <w:color w:val="auto"/>
                <w:szCs w:val="21"/>
                <w:highlight w:val="none"/>
                <w:lang w:eastAsia="zh-CN"/>
              </w:rPr>
              <w:t>，</w:t>
            </w:r>
            <w:r>
              <w:rPr>
                <w:rFonts w:hint="eastAsia" w:ascii="仿宋" w:hAnsi="仿宋" w:eastAsia="仿宋" w:cs="Times New Roman"/>
                <w:color w:val="auto"/>
                <w:szCs w:val="21"/>
                <w:highlight w:val="none"/>
              </w:rPr>
              <w:t>满分40分。</w:t>
            </w:r>
          </w:p>
          <w:p>
            <w:pPr>
              <w:spacing w:after="160" w:line="240" w:lineRule="exact"/>
              <w:rPr>
                <w:rFonts w:hint="eastAsia" w:ascii="仿宋" w:hAnsi="仿宋" w:eastAsia="仿宋"/>
                <w:color w:val="auto"/>
                <w:szCs w:val="21"/>
                <w:highlight w:val="none"/>
              </w:rPr>
            </w:pPr>
            <w:r>
              <w:rPr>
                <w:rFonts w:hint="eastAsia" w:ascii="仿宋" w:hAnsi="仿宋" w:eastAsia="仿宋"/>
                <w:color w:val="auto"/>
                <w:szCs w:val="21"/>
                <w:highlight w:val="none"/>
              </w:rPr>
              <w:t>（二）评分依据：</w:t>
            </w:r>
          </w:p>
          <w:p>
            <w:pPr>
              <w:spacing w:after="160" w:line="240" w:lineRule="exact"/>
              <w:rPr>
                <w:rFonts w:hint="eastAsia" w:ascii="仿宋" w:hAnsi="仿宋" w:eastAsia="仿宋"/>
                <w:color w:val="auto"/>
                <w:szCs w:val="21"/>
                <w:highlight w:val="none"/>
              </w:rPr>
            </w:pPr>
            <w:r>
              <w:rPr>
                <w:rFonts w:hint="eastAsia" w:ascii="仿宋" w:hAnsi="仿宋" w:eastAsia="仿宋"/>
                <w:color w:val="auto"/>
                <w:szCs w:val="21"/>
                <w:highlight w:val="none"/>
              </w:rPr>
              <w:t>1.要求提供奖项照片或获奖（荣誉）证书等证明材料作为得分依据。</w:t>
            </w:r>
          </w:p>
          <w:p>
            <w:pPr>
              <w:spacing w:after="160" w:line="240" w:lineRule="exact"/>
              <w:rPr>
                <w:rFonts w:ascii="仿宋" w:hAnsi="仿宋" w:eastAsia="仿宋"/>
                <w:color w:val="auto"/>
                <w:szCs w:val="21"/>
                <w:highlight w:val="none"/>
              </w:rPr>
            </w:pPr>
            <w:r>
              <w:rPr>
                <w:rFonts w:hint="eastAsia" w:ascii="仿宋" w:hAnsi="仿宋" w:eastAsia="仿宋"/>
                <w:color w:val="auto"/>
                <w:szCs w:val="21"/>
                <w:highlight w:val="none"/>
              </w:rPr>
              <w:t>2.以上资料均要求提供扫描件，原件备查。评分中出现无证明资料或专家无法凭所提供资料判断是否得分的情况，一律作不得分处理。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4</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拟安排的项目负责人情况（仅限一人）</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8</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160" w:line="240" w:lineRule="exact"/>
              <w:rPr>
                <w:rFonts w:hint="eastAsia" w:ascii="仿宋" w:hAnsi="仿宋" w:eastAsia="仿宋" w:cs="Times New Roman"/>
                <w:color w:val="auto"/>
                <w:szCs w:val="21"/>
                <w:highlight w:val="none"/>
              </w:rPr>
            </w:pPr>
            <w:r>
              <w:rPr>
                <w:rFonts w:hint="eastAsia" w:ascii="仿宋" w:hAnsi="仿宋" w:eastAsia="仿宋" w:cs="Times New Roman"/>
                <w:color w:val="auto"/>
                <w:szCs w:val="21"/>
                <w:highlight w:val="none"/>
              </w:rPr>
              <w:t>（一）评分内容：</w:t>
            </w:r>
          </w:p>
          <w:p>
            <w:pPr>
              <w:spacing w:after="160" w:line="240" w:lineRule="exact"/>
              <w:rPr>
                <w:rFonts w:hint="default"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rPr>
              <w:t>1.项目负责人具备</w:t>
            </w:r>
            <w:r>
              <w:rPr>
                <w:rFonts w:hint="eastAsia" w:ascii="仿宋" w:hAnsi="仿宋" w:eastAsia="仿宋" w:cs="Times New Roman"/>
                <w:color w:val="auto"/>
                <w:szCs w:val="21"/>
                <w:highlight w:val="none"/>
                <w:lang w:val="en-US" w:eastAsia="zh-CN"/>
              </w:rPr>
              <w:t>植物学、生态类和环境生物学相关专业背景</w:t>
            </w:r>
            <w:r>
              <w:rPr>
                <w:rFonts w:hint="eastAsia" w:ascii="仿宋" w:hAnsi="仿宋" w:eastAsia="仿宋" w:cs="Times New Roman"/>
                <w:color w:val="auto"/>
                <w:szCs w:val="21"/>
                <w:highlight w:val="none"/>
              </w:rPr>
              <w:t>高级职称的得</w:t>
            </w:r>
            <w:r>
              <w:rPr>
                <w:rFonts w:hint="eastAsia" w:ascii="仿宋" w:hAnsi="仿宋" w:eastAsia="仿宋" w:cs="Times New Roman"/>
                <w:color w:val="auto"/>
                <w:szCs w:val="21"/>
                <w:highlight w:val="none"/>
                <w:lang w:val="en-US" w:eastAsia="zh-CN"/>
              </w:rPr>
              <w:t>30</w:t>
            </w:r>
            <w:r>
              <w:rPr>
                <w:rFonts w:hint="eastAsia" w:ascii="仿宋" w:hAnsi="仿宋" w:eastAsia="仿宋" w:cs="Times New Roman"/>
                <w:color w:val="auto"/>
                <w:szCs w:val="21"/>
                <w:highlight w:val="none"/>
              </w:rPr>
              <w:t>分</w:t>
            </w:r>
            <w:r>
              <w:rPr>
                <w:rFonts w:hint="eastAsia" w:ascii="仿宋" w:hAnsi="仿宋" w:eastAsia="仿宋" w:cs="Times New Roman"/>
                <w:color w:val="auto"/>
                <w:szCs w:val="21"/>
                <w:highlight w:val="none"/>
                <w:lang w:eastAsia="zh-CN"/>
              </w:rPr>
              <w:t>；</w:t>
            </w:r>
            <w:r>
              <w:rPr>
                <w:rFonts w:hint="eastAsia" w:ascii="仿宋" w:hAnsi="仿宋" w:eastAsia="仿宋" w:cs="Times New Roman"/>
                <w:color w:val="auto"/>
                <w:szCs w:val="21"/>
                <w:highlight w:val="none"/>
                <w:lang w:val="en-US" w:eastAsia="zh-CN"/>
              </w:rPr>
              <w:t>副高级的</w:t>
            </w:r>
            <w:r>
              <w:rPr>
                <w:rFonts w:hint="eastAsia" w:ascii="仿宋" w:hAnsi="仿宋" w:eastAsia="仿宋" w:cs="Times New Roman"/>
                <w:color w:val="auto"/>
                <w:szCs w:val="21"/>
                <w:highlight w:val="none"/>
                <w:lang w:eastAsia="zh-CN"/>
              </w:rPr>
              <w:t>得</w:t>
            </w:r>
            <w:r>
              <w:rPr>
                <w:rFonts w:hint="eastAsia" w:ascii="仿宋" w:hAnsi="仿宋" w:eastAsia="仿宋" w:cs="Times New Roman"/>
                <w:color w:val="auto"/>
                <w:szCs w:val="21"/>
                <w:highlight w:val="none"/>
                <w:lang w:val="en-US" w:eastAsia="zh-CN"/>
              </w:rPr>
              <w:t>20</w:t>
            </w:r>
            <w:r>
              <w:rPr>
                <w:rFonts w:hint="eastAsia" w:ascii="仿宋" w:hAnsi="仿宋" w:eastAsia="仿宋" w:cs="Times New Roman"/>
                <w:color w:val="auto"/>
                <w:szCs w:val="21"/>
                <w:highlight w:val="none"/>
                <w:lang w:eastAsia="zh-CN"/>
              </w:rPr>
              <w:t>分</w:t>
            </w:r>
            <w:r>
              <w:rPr>
                <w:rFonts w:hint="eastAsia" w:ascii="仿宋" w:hAnsi="仿宋" w:eastAsia="仿宋" w:cs="Times New Roman"/>
                <w:color w:val="auto"/>
                <w:szCs w:val="21"/>
                <w:highlight w:val="none"/>
              </w:rPr>
              <w:t>；</w:t>
            </w:r>
            <w:r>
              <w:rPr>
                <w:rFonts w:hint="eastAsia" w:ascii="仿宋" w:hAnsi="仿宋" w:eastAsia="仿宋" w:cs="Times New Roman"/>
                <w:color w:val="auto"/>
                <w:szCs w:val="21"/>
                <w:highlight w:val="none"/>
                <w:lang w:val="en-US" w:eastAsia="zh-CN"/>
              </w:rPr>
              <w:t>副高级及以下的</w:t>
            </w:r>
            <w:r>
              <w:rPr>
                <w:rFonts w:hint="eastAsia" w:ascii="仿宋" w:hAnsi="仿宋" w:eastAsia="仿宋" w:cs="Times New Roman"/>
                <w:color w:val="auto"/>
                <w:szCs w:val="21"/>
                <w:highlight w:val="none"/>
                <w:lang w:eastAsia="zh-CN"/>
              </w:rPr>
              <w:t>得</w:t>
            </w:r>
            <w:r>
              <w:rPr>
                <w:rFonts w:hint="eastAsia" w:ascii="仿宋" w:hAnsi="仿宋" w:eastAsia="仿宋" w:cs="Times New Roman"/>
                <w:color w:val="auto"/>
                <w:szCs w:val="21"/>
                <w:highlight w:val="none"/>
                <w:lang w:val="en-US" w:eastAsia="zh-CN"/>
              </w:rPr>
              <w:t>10</w:t>
            </w:r>
            <w:r>
              <w:rPr>
                <w:rFonts w:hint="eastAsia" w:ascii="仿宋" w:hAnsi="仿宋" w:eastAsia="仿宋" w:cs="Times New Roman"/>
                <w:color w:val="auto"/>
                <w:szCs w:val="21"/>
                <w:highlight w:val="none"/>
                <w:lang w:eastAsia="zh-CN"/>
              </w:rPr>
              <w:t>分。</w:t>
            </w:r>
          </w:p>
          <w:p>
            <w:pPr>
              <w:spacing w:after="160" w:line="240" w:lineRule="exact"/>
              <w:rPr>
                <w:rFonts w:hint="eastAsia"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2.近5年来，主持过国家级湿地生态环境等相关项目的，得40分；主持过省部级等相关项目的，得20分；主持过市级生态学等相关项目的，得10分。</w:t>
            </w:r>
          </w:p>
          <w:p>
            <w:pPr>
              <w:spacing w:after="160" w:line="240" w:lineRule="exact"/>
              <w:rPr>
                <w:rFonts w:hint="default" w:ascii="仿宋" w:hAnsi="仿宋" w:eastAsia="仿宋" w:cs="Times New Roman"/>
                <w:color w:val="auto"/>
                <w:szCs w:val="21"/>
                <w:highlight w:val="none"/>
                <w:lang w:val="en-US" w:eastAsia="zh-CN"/>
              </w:rPr>
            </w:pPr>
            <w:r>
              <w:rPr>
                <w:rFonts w:hint="eastAsia" w:ascii="仿宋" w:hAnsi="仿宋" w:eastAsia="仿宋" w:cs="Times New Roman"/>
                <w:color w:val="auto"/>
                <w:szCs w:val="21"/>
                <w:highlight w:val="none"/>
                <w:lang w:val="en-US" w:eastAsia="zh-CN"/>
              </w:rPr>
              <w:t>3.近5年来，主持过科技创新局项目的，每提供一个得10分，满分30分。</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（二）评分依据：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1.</w:t>
            </w:r>
            <w:r>
              <w:rPr>
                <w:rFonts w:hint="eastAsia" w:ascii="仿宋" w:hAnsi="仿宋" w:eastAsia="仿宋"/>
                <w:color w:val="auto"/>
                <w:szCs w:val="21"/>
                <w:highlight w:val="none"/>
              </w:rPr>
              <w:t>要求提供投标人相关证明资料作为得分依据。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2.以上资料均要求提供扫描件</w:t>
            </w:r>
            <w:r>
              <w:rPr>
                <w:rFonts w:hint="eastAsia" w:ascii="仿宋" w:hAnsi="仿宋" w:eastAsia="仿宋"/>
                <w:color w:val="auto"/>
                <w:szCs w:val="21"/>
                <w:highlight w:val="none"/>
                <w:lang w:val="en-US" w:eastAsia="zh-CN"/>
              </w:rPr>
              <w:t>或官网截图</w:t>
            </w:r>
            <w:r>
              <w:rPr>
                <w:rFonts w:ascii="仿宋" w:hAnsi="仿宋" w:eastAsia="仿宋"/>
                <w:color w:val="auto"/>
                <w:szCs w:val="21"/>
                <w:highlight w:val="none"/>
              </w:rPr>
              <w:t>，原件备查。</w:t>
            </w:r>
          </w:p>
          <w:p>
            <w:pPr>
              <w:pStyle w:val="4"/>
              <w:rPr>
                <w:rFonts w:ascii="仿宋" w:hAnsi="仿宋" w:eastAsia="仿宋"/>
                <w:color w:val="auto"/>
                <w:szCs w:val="21"/>
                <w:highlight w:val="none"/>
              </w:rPr>
            </w:pPr>
            <w:r>
              <w:rPr>
                <w:rFonts w:ascii="仿宋" w:hAnsi="仿宋" w:eastAsia="仿宋"/>
                <w:color w:val="auto"/>
                <w:szCs w:val="21"/>
                <w:highlight w:val="none"/>
              </w:rPr>
              <w:t>3.</w:t>
            </w:r>
            <w:r>
              <w:rPr>
                <w:rFonts w:hint="eastAsia" w:ascii="仿宋" w:hAnsi="仿宋" w:eastAsia="仿宋"/>
                <w:color w:val="auto"/>
                <w:kern w:val="2"/>
                <w:sz w:val="21"/>
                <w:szCs w:val="21"/>
                <w:highlight w:val="none"/>
                <w:lang w:val="en-US" w:eastAsia="zh-CN"/>
              </w:rPr>
              <w:t>近六个月社保证明，社保证明资料应当至少包含医疗保险，证明资料可为社保收缴部门盖章证明资料、社保窗口打印资料或社保官网截图。</w:t>
            </w:r>
            <w:r>
              <w:rPr>
                <w:rFonts w:hint="eastAsia" w:ascii="仿宋" w:hAnsi="仿宋" w:eastAsia="仿宋"/>
                <w:color w:val="auto"/>
                <w:kern w:val="2"/>
                <w:sz w:val="21"/>
                <w:szCs w:val="21"/>
                <w:highlight w:val="none"/>
              </w:rPr>
              <w:t>如开标日上一个月的社保材料因社保部门原因暂时无法取得，则可以往前顺延一个月。如供应商为新成立企业且成立时间不足三个月可提供加盖公章的情况说明或者证明材料亦视为符合。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5</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ascii="仿宋" w:hAnsi="仿宋" w:eastAsia="仿宋"/>
                <w:color w:val="auto"/>
                <w:szCs w:val="21"/>
                <w:highlight w:val="none"/>
              </w:rPr>
              <w:t>拟安排的项目主要团队成员（主要技术人员）情况（项目负责人除外）</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12</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0" w:line="240" w:lineRule="auto"/>
              <w:rPr>
                <w:rFonts w:ascii="仿宋" w:hAnsi="仿宋" w:eastAsia="仿宋" w:cs="Times New Roman"/>
                <w:color w:val="auto"/>
                <w:szCs w:val="21"/>
                <w:highlight w:val="none"/>
              </w:rPr>
            </w:pPr>
            <w:r>
              <w:rPr>
                <w:rFonts w:ascii="仿宋" w:hAnsi="仿宋" w:eastAsia="仿宋" w:cs="Times New Roman"/>
                <w:color w:val="auto"/>
                <w:szCs w:val="21"/>
                <w:highlight w:val="none"/>
              </w:rPr>
              <w:t>（一）评分内容：</w:t>
            </w:r>
          </w:p>
          <w:p>
            <w:pPr>
              <w:spacing w:after="0" w:line="240" w:lineRule="auto"/>
              <w:rPr>
                <w:rFonts w:hint="eastAsia" w:ascii="仿宋" w:hAnsi="仿宋" w:eastAsia="仿宋" w:cs="Times New Roman"/>
                <w:color w:val="auto"/>
                <w:szCs w:val="21"/>
                <w:highlight w:val="none"/>
                <w:lang w:val="en-US" w:eastAsia="zh-CN"/>
              </w:rPr>
            </w:pPr>
            <w:r>
              <w:rPr>
                <w:rFonts w:hint="default" w:ascii="仿宋" w:hAnsi="仿宋" w:eastAsia="仿宋" w:cs="Times New Roman"/>
                <w:color w:val="auto"/>
                <w:szCs w:val="21"/>
                <w:highlight w:val="none"/>
                <w:lang w:val="en-US" w:eastAsia="zh-CN"/>
              </w:rPr>
              <w:t>投标人拟派本项目人员（不包括项目负责人）</w:t>
            </w:r>
            <w:r>
              <w:rPr>
                <w:rFonts w:hint="eastAsia" w:ascii="仿宋" w:hAnsi="仿宋" w:eastAsia="仿宋" w:cs="Times New Roman"/>
                <w:color w:val="auto"/>
                <w:szCs w:val="21"/>
                <w:highlight w:val="none"/>
                <w:lang w:val="en-US" w:eastAsia="zh-CN"/>
              </w:rPr>
              <w:t>：</w:t>
            </w:r>
          </w:p>
          <w:p>
            <w:pPr>
              <w:spacing w:after="0" w:line="240" w:lineRule="auto"/>
              <w:rPr>
                <w:rFonts w:hint="default" w:ascii="仿宋" w:hAnsi="仿宋" w:eastAsia="仿宋" w:cs="Times New Roman"/>
                <w:color w:val="auto"/>
                <w:szCs w:val="21"/>
                <w:highlight w:val="none"/>
                <w:lang w:val="en-US" w:eastAsia="zh-CN"/>
              </w:rPr>
            </w:pPr>
            <w:r>
              <w:rPr>
                <w:rFonts w:hint="default" w:ascii="仿宋" w:hAnsi="仿宋" w:eastAsia="仿宋" w:cs="Times New Roman"/>
                <w:color w:val="auto"/>
                <w:szCs w:val="21"/>
                <w:highlight w:val="none"/>
                <w:lang w:val="en-US" w:eastAsia="zh-CN"/>
              </w:rPr>
              <w:t>1.项目人员中具有生态学、生物学等方面博士研究生学历的，每有1人得10分，满分50分。</w:t>
            </w:r>
          </w:p>
          <w:p>
            <w:pPr>
              <w:spacing w:after="0" w:line="240" w:lineRule="auto"/>
              <w:rPr>
                <w:rFonts w:hint="default" w:ascii="仿宋" w:hAnsi="仿宋" w:eastAsia="仿宋" w:cs="Times New Roman"/>
                <w:color w:val="auto"/>
                <w:szCs w:val="21"/>
                <w:highlight w:val="none"/>
                <w:lang w:val="en-US" w:eastAsia="zh-CN"/>
              </w:rPr>
            </w:pPr>
            <w:r>
              <w:rPr>
                <w:rFonts w:hint="default" w:ascii="仿宋" w:hAnsi="仿宋" w:eastAsia="仿宋" w:cs="Times New Roman"/>
                <w:color w:val="auto"/>
                <w:szCs w:val="21"/>
                <w:highlight w:val="none"/>
                <w:lang w:val="en-US" w:eastAsia="zh-CN"/>
              </w:rPr>
              <w:t>2.项目组成员近</w:t>
            </w:r>
            <w:r>
              <w:rPr>
                <w:rFonts w:hint="eastAsia" w:ascii="仿宋" w:hAnsi="仿宋" w:eastAsia="仿宋" w:cs="Times New Roman"/>
                <w:color w:val="auto"/>
                <w:szCs w:val="21"/>
                <w:highlight w:val="none"/>
                <w:lang w:val="en-US" w:eastAsia="zh-CN"/>
              </w:rPr>
              <w:t>5</w:t>
            </w:r>
            <w:r>
              <w:rPr>
                <w:rFonts w:hint="default" w:ascii="仿宋" w:hAnsi="仿宋" w:eastAsia="仿宋" w:cs="Times New Roman"/>
                <w:color w:val="auto"/>
                <w:szCs w:val="21"/>
                <w:highlight w:val="none"/>
                <w:lang w:val="en-US" w:eastAsia="zh-CN"/>
              </w:rPr>
              <w:t>年来，</w:t>
            </w:r>
            <w:r>
              <w:rPr>
                <w:rFonts w:hint="eastAsia" w:ascii="仿宋" w:hAnsi="仿宋" w:eastAsia="仿宋" w:cs="Times New Roman"/>
                <w:color w:val="auto"/>
                <w:szCs w:val="21"/>
                <w:highlight w:val="none"/>
                <w:lang w:val="en-US" w:eastAsia="zh-CN"/>
              </w:rPr>
              <w:t>主持</w:t>
            </w:r>
            <w:r>
              <w:rPr>
                <w:rFonts w:hint="default" w:ascii="仿宋" w:hAnsi="仿宋" w:eastAsia="仿宋" w:cs="Times New Roman"/>
                <w:color w:val="auto"/>
                <w:szCs w:val="21"/>
                <w:highlight w:val="none"/>
                <w:lang w:val="en-US" w:eastAsia="zh-CN"/>
              </w:rPr>
              <w:t>过省部级及以上</w:t>
            </w:r>
            <w:r>
              <w:rPr>
                <w:rFonts w:hint="eastAsia" w:ascii="仿宋" w:hAnsi="仿宋" w:eastAsia="仿宋" w:cs="Times New Roman"/>
                <w:color w:val="auto"/>
                <w:szCs w:val="21"/>
                <w:highlight w:val="none"/>
                <w:lang w:val="en-US" w:eastAsia="zh-CN"/>
              </w:rPr>
              <w:t>湿地</w:t>
            </w:r>
            <w:r>
              <w:rPr>
                <w:rFonts w:hint="default" w:ascii="仿宋" w:hAnsi="仿宋" w:eastAsia="仿宋" w:cs="Times New Roman"/>
                <w:color w:val="auto"/>
                <w:szCs w:val="21"/>
                <w:highlight w:val="none"/>
                <w:lang w:val="en-US" w:eastAsia="zh-CN"/>
              </w:rPr>
              <w:t>生态</w:t>
            </w:r>
            <w:r>
              <w:rPr>
                <w:rFonts w:hint="eastAsia" w:ascii="仿宋" w:hAnsi="仿宋" w:eastAsia="仿宋" w:cs="Times New Roman"/>
                <w:color w:val="auto"/>
                <w:szCs w:val="21"/>
                <w:highlight w:val="none"/>
                <w:lang w:val="en-US" w:eastAsia="zh-CN"/>
              </w:rPr>
              <w:t>环境</w:t>
            </w:r>
            <w:r>
              <w:rPr>
                <w:rFonts w:hint="default" w:ascii="仿宋" w:hAnsi="仿宋" w:eastAsia="仿宋" w:cs="Times New Roman"/>
                <w:color w:val="auto"/>
                <w:szCs w:val="21"/>
                <w:highlight w:val="none"/>
                <w:lang w:val="en-US" w:eastAsia="zh-CN"/>
              </w:rPr>
              <w:t>等相关项目的，每提供1个得10分（多人参与同一项目的，按一项计），满分50分。</w:t>
            </w:r>
          </w:p>
          <w:p>
            <w:pPr>
              <w:spacing w:after="0" w:line="240" w:lineRule="auto"/>
              <w:rPr>
                <w:rFonts w:ascii="仿宋" w:hAnsi="仿宋" w:eastAsia="仿宋"/>
                <w:color w:val="auto"/>
                <w:szCs w:val="21"/>
                <w:highlight w:val="none"/>
              </w:rPr>
            </w:pPr>
            <w:r>
              <w:rPr>
                <w:rFonts w:ascii="仿宋" w:hAnsi="仿宋" w:eastAsia="仿宋"/>
                <w:color w:val="auto"/>
                <w:szCs w:val="21"/>
                <w:highlight w:val="none"/>
              </w:rPr>
              <w:t>（二）评分依据：</w:t>
            </w:r>
          </w:p>
          <w:p>
            <w:pPr>
              <w:spacing w:after="0" w:line="240" w:lineRule="auto"/>
              <w:rPr>
                <w:rFonts w:ascii="仿宋" w:hAnsi="仿宋" w:eastAsia="仿宋"/>
                <w:color w:val="auto"/>
                <w:szCs w:val="21"/>
                <w:highlight w:val="none"/>
              </w:rPr>
            </w:pPr>
            <w:r>
              <w:rPr>
                <w:rFonts w:ascii="仿宋" w:hAnsi="仿宋" w:eastAsia="仿宋"/>
                <w:color w:val="auto"/>
                <w:szCs w:val="21"/>
                <w:highlight w:val="none"/>
              </w:rPr>
              <w:t>1.要求提供通过投标人购买的项目主要团队成员的社保证明、相关证书、工作经验证明作为得分依据。</w:t>
            </w:r>
          </w:p>
          <w:p>
            <w:pPr>
              <w:spacing w:after="0" w:line="240" w:lineRule="auto"/>
              <w:rPr>
                <w:rFonts w:ascii="仿宋" w:hAnsi="仿宋" w:eastAsia="仿宋"/>
                <w:color w:val="auto"/>
                <w:szCs w:val="21"/>
                <w:highlight w:val="none"/>
              </w:rPr>
            </w:pPr>
            <w:r>
              <w:rPr>
                <w:rFonts w:ascii="仿宋" w:hAnsi="仿宋" w:eastAsia="仿宋"/>
                <w:color w:val="auto"/>
                <w:szCs w:val="21"/>
                <w:highlight w:val="none"/>
              </w:rPr>
              <w:t>2.以上资料均要求提供扫描件，原件备查。</w:t>
            </w:r>
          </w:p>
          <w:p>
            <w:pPr>
              <w:pStyle w:val="4"/>
              <w:rPr>
                <w:rFonts w:ascii="仿宋" w:hAnsi="仿宋" w:eastAsia="仿宋"/>
                <w:color w:val="auto"/>
                <w:szCs w:val="21"/>
                <w:highlight w:val="none"/>
              </w:rPr>
            </w:pPr>
            <w:r>
              <w:rPr>
                <w:rFonts w:ascii="仿宋" w:hAnsi="仿宋" w:eastAsia="仿宋"/>
                <w:color w:val="auto"/>
                <w:szCs w:val="21"/>
                <w:highlight w:val="none"/>
              </w:rPr>
              <w:t>3.</w:t>
            </w:r>
            <w:r>
              <w:rPr>
                <w:rFonts w:hint="default" w:ascii="仿宋" w:hAnsi="仿宋" w:eastAsia="仿宋"/>
                <w:color w:val="auto"/>
                <w:kern w:val="2"/>
                <w:sz w:val="21"/>
                <w:szCs w:val="21"/>
                <w:highlight w:val="none"/>
                <w:lang w:val="en-US" w:eastAsia="zh-CN"/>
              </w:rPr>
              <w:t>近</w:t>
            </w:r>
            <w:r>
              <w:rPr>
                <w:rFonts w:hint="eastAsia" w:ascii="仿宋" w:hAnsi="仿宋" w:eastAsia="仿宋"/>
                <w:color w:val="auto"/>
                <w:kern w:val="2"/>
                <w:sz w:val="21"/>
                <w:szCs w:val="21"/>
                <w:highlight w:val="none"/>
                <w:lang w:val="en-US" w:eastAsia="zh-CN"/>
              </w:rPr>
              <w:t>六</w:t>
            </w:r>
            <w:r>
              <w:rPr>
                <w:rFonts w:hint="default" w:ascii="仿宋" w:hAnsi="仿宋" w:eastAsia="仿宋"/>
                <w:color w:val="auto"/>
                <w:kern w:val="2"/>
                <w:sz w:val="21"/>
                <w:szCs w:val="21"/>
                <w:highlight w:val="none"/>
                <w:lang w:val="en-US" w:eastAsia="zh-CN"/>
              </w:rPr>
              <w:t>个月社保证明，社保证明资料应当至少包含医疗保险，证明资料可为社保收缴部门盖章证明资料、社保窗口打印资料或社保官网截图。</w:t>
            </w:r>
            <w:r>
              <w:rPr>
                <w:rFonts w:ascii="仿宋" w:hAnsi="仿宋" w:eastAsia="仿宋"/>
                <w:color w:val="auto"/>
                <w:kern w:val="2"/>
                <w:sz w:val="21"/>
                <w:szCs w:val="21"/>
                <w:highlight w:val="none"/>
              </w:rPr>
              <w:t>如开标日上一个月的社保材料因社保部门原因暂时无法取得，则可以往前顺延一个月。如供应商为新成立企业且成立时间不足三个月可提供加盖公章的情况说明或者证明材料亦视为符合。</w:t>
            </w:r>
          </w:p>
          <w:p>
            <w:pPr>
              <w:rPr>
                <w:rFonts w:ascii="仿宋" w:hAnsi="仿宋" w:eastAsia="仿宋"/>
                <w:color w:val="auto"/>
                <w:szCs w:val="21"/>
                <w:highlight w:val="none"/>
              </w:rPr>
            </w:pPr>
            <w:r>
              <w:rPr>
                <w:rFonts w:ascii="仿宋" w:hAnsi="仿宋" w:eastAsia="仿宋"/>
                <w:color w:val="auto"/>
                <w:szCs w:val="21"/>
                <w:highlight w:val="none"/>
              </w:rPr>
              <w:t>4.工作经验证明为项目合同关键信息，通过合同关键信息无法判断是否得分的，可提供合同甲方出具的证明文件。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6</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投标人自主知识产权产品（创新、设计）情况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default"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5</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160" w:line="240" w:lineRule="exact"/>
              <w:rPr>
                <w:rFonts w:ascii="仿宋" w:hAnsi="仿宋" w:eastAsia="仿宋" w:cs="Times New Roman"/>
                <w:color w:val="auto"/>
                <w:szCs w:val="21"/>
                <w:highlight w:val="none"/>
              </w:rPr>
            </w:pPr>
            <w:r>
              <w:rPr>
                <w:rFonts w:ascii="仿宋" w:hAnsi="仿宋" w:eastAsia="仿宋" w:cs="Times New Roman"/>
                <w:color w:val="auto"/>
                <w:szCs w:val="21"/>
                <w:highlight w:val="none"/>
              </w:rPr>
              <w:t>（一）评分内容：</w:t>
            </w:r>
          </w:p>
          <w:p>
            <w:pPr>
              <w:shd w:val="clear"/>
              <w:spacing w:after="160" w:line="240" w:lineRule="exac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1.</w:t>
            </w:r>
            <w:r>
              <w:rPr>
                <w:rFonts w:hint="eastAsia" w:ascii="仿宋" w:hAnsi="仿宋" w:eastAsia="仿宋" w:cs="Times New Roman"/>
                <w:color w:val="auto"/>
                <w:szCs w:val="21"/>
                <w:highlight w:val="none"/>
                <w:lang w:val="en-US" w:eastAsia="zh-CN"/>
              </w:rPr>
              <w:t>近5年来，</w:t>
            </w:r>
            <w:r>
              <w:rPr>
                <w:rFonts w:hint="eastAsia" w:ascii="仿宋" w:hAnsi="仿宋" w:eastAsia="仿宋"/>
                <w:color w:val="auto"/>
                <w:szCs w:val="21"/>
                <w:highlight w:val="none"/>
                <w:lang w:val="en-US" w:eastAsia="zh-CN"/>
              </w:rPr>
              <w:t>投标人</w:t>
            </w:r>
            <w:r>
              <w:rPr>
                <w:rFonts w:hint="eastAsia" w:ascii="仿宋" w:hAnsi="仿宋" w:eastAsia="仿宋"/>
                <w:color w:val="auto"/>
                <w:szCs w:val="21"/>
                <w:highlight w:val="none"/>
                <w:lang w:eastAsia="zh-CN"/>
              </w:rPr>
              <w:t>发表湿地生态</w:t>
            </w:r>
            <w:r>
              <w:rPr>
                <w:rFonts w:hint="eastAsia" w:ascii="仿宋" w:hAnsi="仿宋" w:eastAsia="仿宋"/>
                <w:color w:val="auto"/>
                <w:szCs w:val="21"/>
                <w:highlight w:val="none"/>
                <w:lang w:val="en-US" w:eastAsia="zh-CN"/>
              </w:rPr>
              <w:t>环境等方面的顶级期刊研究论文</w:t>
            </w:r>
            <w:r>
              <w:rPr>
                <w:rFonts w:hint="eastAsia" w:ascii="仿宋" w:hAnsi="仿宋" w:eastAsia="仿宋"/>
                <w:color w:val="auto"/>
                <w:szCs w:val="21"/>
                <w:highlight w:val="none"/>
                <w:lang w:eastAsia="zh-CN"/>
              </w:rPr>
              <w:t>的，每具备</w:t>
            </w:r>
            <w:r>
              <w:rPr>
                <w:rFonts w:hint="eastAsia" w:ascii="仿宋" w:hAnsi="仿宋" w:eastAsia="仿宋"/>
                <w:color w:val="auto"/>
                <w:szCs w:val="21"/>
                <w:highlight w:val="none"/>
              </w:rPr>
              <w:t>一</w:t>
            </w:r>
            <w:r>
              <w:rPr>
                <w:rFonts w:hint="eastAsia" w:ascii="仿宋" w:hAnsi="仿宋" w:eastAsia="仿宋"/>
                <w:color w:val="auto"/>
                <w:szCs w:val="21"/>
                <w:highlight w:val="none"/>
                <w:lang w:eastAsia="zh-CN"/>
              </w:rPr>
              <w:t>项</w:t>
            </w:r>
            <w:r>
              <w:rPr>
                <w:rFonts w:hint="eastAsia" w:ascii="仿宋" w:hAnsi="仿宋" w:eastAsia="仿宋"/>
                <w:color w:val="auto"/>
                <w:szCs w:val="21"/>
                <w:highlight w:val="none"/>
              </w:rPr>
              <w:t>得</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分，最高</w:t>
            </w:r>
            <w:r>
              <w:rPr>
                <w:rFonts w:hint="eastAsia" w:ascii="仿宋" w:hAnsi="仿宋" w:eastAsia="仿宋"/>
                <w:color w:val="auto"/>
                <w:szCs w:val="21"/>
                <w:highlight w:val="none"/>
                <w:lang w:val="en-US" w:eastAsia="zh-CN"/>
              </w:rPr>
              <w:t>60</w:t>
            </w:r>
            <w:r>
              <w:rPr>
                <w:rFonts w:hint="eastAsia" w:ascii="仿宋" w:hAnsi="仿宋" w:eastAsia="仿宋"/>
                <w:color w:val="auto"/>
                <w:szCs w:val="21"/>
                <w:highlight w:val="none"/>
              </w:rPr>
              <w:t>分</w:t>
            </w:r>
            <w:r>
              <w:rPr>
                <w:rFonts w:hint="eastAsia" w:ascii="仿宋" w:hAnsi="仿宋" w:eastAsia="仿宋"/>
                <w:color w:val="auto"/>
                <w:szCs w:val="21"/>
                <w:highlight w:val="none"/>
                <w:lang w:eastAsia="zh-CN"/>
              </w:rPr>
              <w:t>。</w:t>
            </w:r>
          </w:p>
          <w:p>
            <w:pPr>
              <w:spacing w:after="160" w:line="240" w:lineRule="exact"/>
              <w:rPr>
                <w:rFonts w:hint="eastAsia" w:ascii="仿宋" w:hAnsi="仿宋" w:eastAsia="仿宋" w:cs="Times New Roman"/>
                <w:color w:val="auto"/>
                <w:szCs w:val="21"/>
                <w:highlight w:val="none"/>
                <w:lang w:val="en-US" w:eastAsia="zh-CN"/>
              </w:rPr>
            </w:pPr>
            <w:r>
              <w:rPr>
                <w:rFonts w:hint="eastAsia" w:ascii="仿宋" w:hAnsi="仿宋" w:eastAsia="仿宋"/>
                <w:color w:val="auto"/>
                <w:szCs w:val="21"/>
                <w:highlight w:val="none"/>
                <w:lang w:val="en-US" w:eastAsia="zh-CN"/>
              </w:rPr>
              <w:t>2.</w:t>
            </w:r>
            <w:r>
              <w:rPr>
                <w:rFonts w:hint="eastAsia" w:ascii="仿宋" w:hAnsi="仿宋" w:eastAsia="仿宋" w:cs="Times New Roman"/>
                <w:color w:val="auto"/>
                <w:szCs w:val="21"/>
                <w:highlight w:val="none"/>
                <w:lang w:val="en-US" w:eastAsia="zh-CN"/>
              </w:rPr>
              <w:t>近5年来，</w:t>
            </w:r>
            <w:r>
              <w:rPr>
                <w:rFonts w:hint="eastAsia" w:ascii="仿宋" w:hAnsi="仿宋" w:eastAsia="仿宋"/>
                <w:color w:val="auto"/>
                <w:szCs w:val="21"/>
                <w:highlight w:val="none"/>
              </w:rPr>
              <w:t>投标人在</w:t>
            </w:r>
            <w:r>
              <w:rPr>
                <w:rFonts w:hint="eastAsia" w:ascii="仿宋" w:hAnsi="仿宋" w:eastAsia="仿宋"/>
                <w:color w:val="auto"/>
                <w:szCs w:val="21"/>
                <w:highlight w:val="none"/>
                <w:lang w:val="en-US" w:eastAsia="zh-CN"/>
              </w:rPr>
              <w:t>生态学方面</w:t>
            </w:r>
            <w:r>
              <w:rPr>
                <w:rFonts w:hint="eastAsia" w:ascii="仿宋" w:hAnsi="仿宋" w:eastAsia="仿宋"/>
                <w:color w:val="auto"/>
                <w:szCs w:val="21"/>
                <w:highlight w:val="none"/>
              </w:rPr>
              <w:t>具有</w:t>
            </w:r>
            <w:r>
              <w:rPr>
                <w:rFonts w:hint="eastAsia" w:ascii="仿宋" w:hAnsi="仿宋" w:eastAsia="仿宋"/>
                <w:color w:val="auto"/>
                <w:szCs w:val="21"/>
                <w:highlight w:val="none"/>
                <w:lang w:eastAsia="zh-CN"/>
              </w:rPr>
              <w:t>申请水和鸟等湿地生态环境相关</w:t>
            </w:r>
            <w:r>
              <w:rPr>
                <w:rFonts w:hint="eastAsia" w:ascii="仿宋" w:hAnsi="仿宋" w:eastAsia="仿宋"/>
                <w:color w:val="auto"/>
                <w:szCs w:val="21"/>
                <w:highlight w:val="none"/>
                <w:lang w:val="en-US" w:eastAsia="zh-CN"/>
              </w:rPr>
              <w:t>发明专利的</w:t>
            </w:r>
            <w:r>
              <w:rPr>
                <w:rFonts w:hint="eastAsia" w:ascii="仿宋" w:hAnsi="仿宋" w:eastAsia="仿宋"/>
                <w:color w:val="auto"/>
                <w:szCs w:val="21"/>
                <w:highlight w:val="none"/>
              </w:rPr>
              <w:t>，每具备一项得</w:t>
            </w:r>
            <w:r>
              <w:rPr>
                <w:rFonts w:hint="eastAsia" w:ascii="仿宋" w:hAnsi="仿宋" w:eastAsia="仿宋"/>
                <w:color w:val="auto"/>
                <w:szCs w:val="21"/>
                <w:highlight w:val="none"/>
                <w:lang w:val="en-US" w:eastAsia="zh-CN"/>
              </w:rPr>
              <w:t>10</w:t>
            </w:r>
            <w:r>
              <w:rPr>
                <w:rFonts w:hint="eastAsia" w:ascii="仿宋" w:hAnsi="仿宋" w:eastAsia="仿宋"/>
                <w:color w:val="auto"/>
                <w:szCs w:val="21"/>
                <w:highlight w:val="none"/>
              </w:rPr>
              <w:t>分，最高</w:t>
            </w:r>
            <w:r>
              <w:rPr>
                <w:rFonts w:hint="eastAsia" w:ascii="仿宋" w:hAnsi="仿宋" w:eastAsia="仿宋"/>
                <w:color w:val="auto"/>
                <w:szCs w:val="21"/>
                <w:highlight w:val="none"/>
                <w:lang w:val="en-US" w:eastAsia="zh-CN"/>
              </w:rPr>
              <w:t>20</w:t>
            </w:r>
            <w:r>
              <w:rPr>
                <w:rFonts w:hint="eastAsia" w:ascii="仿宋" w:hAnsi="仿宋" w:eastAsia="仿宋"/>
                <w:color w:val="auto"/>
                <w:szCs w:val="21"/>
                <w:highlight w:val="none"/>
              </w:rPr>
              <w:t>分</w:t>
            </w:r>
            <w:r>
              <w:rPr>
                <w:rFonts w:hint="eastAsia" w:ascii="仿宋" w:hAnsi="仿宋" w:eastAsia="仿宋" w:cs="Times New Roman"/>
                <w:color w:val="auto"/>
                <w:szCs w:val="21"/>
                <w:highlight w:val="none"/>
                <w:lang w:eastAsia="zh-CN"/>
              </w:rPr>
              <w:t>。</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（二）评分依据：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1.要求提供有效的</w:t>
            </w:r>
            <w:r>
              <w:rPr>
                <w:rFonts w:hint="eastAsia" w:ascii="仿宋" w:hAnsi="仿宋" w:eastAsia="仿宋"/>
                <w:color w:val="auto"/>
                <w:szCs w:val="21"/>
                <w:highlight w:val="none"/>
                <w:lang w:val="en-US" w:eastAsia="zh-CN"/>
              </w:rPr>
              <w:t>论文发表、</w:t>
            </w:r>
            <w:r>
              <w:rPr>
                <w:rFonts w:ascii="仿宋" w:hAnsi="仿宋" w:eastAsia="仿宋"/>
                <w:color w:val="auto"/>
                <w:szCs w:val="21"/>
                <w:highlight w:val="none"/>
              </w:rPr>
              <w:t>专利</w:t>
            </w:r>
            <w:r>
              <w:rPr>
                <w:rFonts w:hint="eastAsia" w:ascii="仿宋" w:hAnsi="仿宋" w:eastAsia="仿宋"/>
                <w:color w:val="auto"/>
                <w:szCs w:val="21"/>
                <w:highlight w:val="none"/>
                <w:lang w:eastAsia="zh-CN"/>
              </w:rPr>
              <w:t>申请</w:t>
            </w:r>
            <w:r>
              <w:rPr>
                <w:rFonts w:ascii="仿宋" w:hAnsi="仿宋" w:eastAsia="仿宋"/>
                <w:color w:val="auto"/>
                <w:szCs w:val="21"/>
                <w:highlight w:val="none"/>
              </w:rPr>
              <w:t>等证明材料作为得分依据。</w:t>
            </w:r>
          </w:p>
          <w:p>
            <w:pPr>
              <w:spacing w:after="160" w:line="240" w:lineRule="exact"/>
              <w:rPr>
                <w:rFonts w:ascii="仿宋" w:hAnsi="仿宋" w:eastAsia="仿宋"/>
                <w:color w:val="auto"/>
                <w:szCs w:val="21"/>
                <w:highlight w:val="none"/>
              </w:rPr>
            </w:pPr>
            <w:r>
              <w:rPr>
                <w:rFonts w:ascii="仿宋" w:hAnsi="仿宋" w:eastAsia="仿宋"/>
                <w:color w:val="auto"/>
                <w:szCs w:val="21"/>
                <w:highlight w:val="none"/>
              </w:rPr>
              <w:t>2.以上资料均要求提供扫描件，原件备查。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center"/>
          </w:tcPr>
          <w:p>
            <w:pP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eastAsia="zh-CN"/>
              </w:rPr>
            </w:pPr>
            <w:r>
              <w:rPr>
                <w:rFonts w:hint="eastAsia" w:ascii="仿宋" w:hAnsi="仿宋" w:eastAsia="仿宋"/>
                <w:color w:val="auto"/>
                <w:szCs w:val="21"/>
                <w:highlight w:val="none"/>
                <w:lang w:val="en-US" w:eastAsia="zh-CN"/>
              </w:rPr>
              <w:t>7</w:t>
            </w:r>
          </w:p>
        </w:tc>
        <w:tc>
          <w:tcPr>
            <w:tcW w:w="1530" w:type="dxa"/>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szCs w:val="21"/>
              </w:rPr>
              <w:t>服务网点</w:t>
            </w:r>
          </w:p>
        </w:tc>
        <w:tc>
          <w:tcPr>
            <w:tcW w:w="6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3</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spacing w:after="160" w:line="240" w:lineRule="exact"/>
              <w:rPr>
                <w:rFonts w:ascii="仿宋" w:hAnsi="仿宋" w:eastAsia="仿宋"/>
                <w:szCs w:val="21"/>
              </w:rPr>
            </w:pPr>
            <w:r>
              <w:rPr>
                <w:rFonts w:ascii="仿宋" w:hAnsi="仿宋" w:eastAsia="仿宋"/>
                <w:color w:val="auto"/>
                <w:szCs w:val="21"/>
                <w:highlight w:val="none"/>
              </w:rPr>
              <w:t>（一）评分内容：</w:t>
            </w:r>
          </w:p>
          <w:p>
            <w:pPr>
              <w:numPr>
                <w:ilvl w:val="-1"/>
                <w:numId w:val="0"/>
              </w:numPr>
              <w:spacing w:after="160" w:line="240" w:lineRule="exact"/>
              <w:jc w:val="left"/>
              <w:rPr>
                <w:rFonts w:hint="eastAsia" w:ascii="仿宋" w:hAnsi="仿宋" w:eastAsia="仿宋"/>
                <w:color w:val="auto"/>
                <w:szCs w:val="21"/>
                <w:highlight w:val="none"/>
              </w:rPr>
            </w:pPr>
            <w:r>
              <w:rPr>
                <w:rFonts w:hint="eastAsia" w:ascii="仿宋" w:hAnsi="仿宋" w:eastAsia="仿宋"/>
                <w:color w:val="auto"/>
                <w:szCs w:val="21"/>
                <w:highlight w:val="none"/>
              </w:rPr>
              <w:t>深圳供应商，或非深圳供应商但在深圳有合法注册的分公司（或售后机构）（分公司的必须提供分公司营业执照扫描件，售后机构必须同时提供售后服务合作合同及售后机构营业执照扫描件作为得分依据，原件备查）的，得</w:t>
            </w:r>
            <w:r>
              <w:rPr>
                <w:rFonts w:hint="eastAsia" w:ascii="仿宋" w:hAnsi="仿宋" w:eastAsia="仿宋"/>
                <w:color w:val="auto"/>
                <w:szCs w:val="21"/>
                <w:highlight w:val="none"/>
                <w:lang w:val="en-US" w:eastAsia="zh-CN"/>
              </w:rPr>
              <w:t>100</w:t>
            </w:r>
            <w:r>
              <w:rPr>
                <w:rFonts w:hint="eastAsia" w:ascii="仿宋" w:hAnsi="仿宋" w:eastAsia="仿宋"/>
                <w:color w:val="auto"/>
                <w:szCs w:val="21"/>
                <w:highlight w:val="none"/>
              </w:rPr>
              <w:t>分；否则不得分。</w:t>
            </w:r>
          </w:p>
          <w:p>
            <w:pPr>
              <w:spacing w:after="160" w:line="240" w:lineRule="exact"/>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rPr>
              <w:t>外地供应商承诺：中标后设立本地经营（服务）网点的，提供承诺文件（格式自定）的，得</w:t>
            </w:r>
            <w:r>
              <w:rPr>
                <w:rFonts w:hint="eastAsia" w:ascii="仿宋" w:hAnsi="仿宋" w:eastAsia="仿宋"/>
                <w:color w:val="auto"/>
                <w:szCs w:val="21"/>
                <w:highlight w:val="none"/>
                <w:lang w:val="en-US" w:eastAsia="zh-CN"/>
              </w:rPr>
              <w:t>100</w:t>
            </w:r>
            <w:r>
              <w:rPr>
                <w:rFonts w:hint="eastAsia" w:ascii="仿宋" w:hAnsi="仿宋" w:eastAsia="仿宋"/>
                <w:color w:val="auto"/>
                <w:szCs w:val="21"/>
                <w:highlight w:val="none"/>
              </w:rPr>
              <w:t>分；未提供承诺或承诺内容不满足要求均不得分。</w:t>
            </w:r>
          </w:p>
          <w:p>
            <w:pPr>
              <w:rPr>
                <w:rFonts w:ascii="仿宋" w:hAnsi="仿宋" w:eastAsia="仿宋"/>
                <w:color w:val="auto"/>
                <w:szCs w:val="21"/>
                <w:highlight w:val="none"/>
              </w:rPr>
            </w:pPr>
            <w:r>
              <w:rPr>
                <w:rFonts w:ascii="仿宋" w:hAnsi="仿宋" w:eastAsia="仿宋"/>
                <w:color w:val="auto"/>
                <w:szCs w:val="21"/>
                <w:highlight w:val="none"/>
              </w:rPr>
              <w:t>（二）评分依据：</w:t>
            </w:r>
          </w:p>
          <w:p>
            <w:pPr>
              <w:rPr>
                <w:rFonts w:ascii="仿宋" w:hAnsi="仿宋" w:eastAsia="仿宋"/>
                <w:color w:val="auto"/>
                <w:szCs w:val="21"/>
                <w:highlight w:val="none"/>
              </w:rPr>
            </w:pPr>
            <w:r>
              <w:rPr>
                <w:rFonts w:ascii="仿宋" w:hAnsi="仿宋" w:eastAsia="仿宋"/>
                <w:color w:val="auto"/>
                <w:szCs w:val="21"/>
                <w:highlight w:val="none"/>
              </w:rPr>
              <w:t>要求投标人提供承诺（格式自定）作为得分依据。未提供承诺或承诺内容不满足要求均不得分。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 w:hAnsi="仿宋" w:eastAsia="仿宋"/>
                <w:color w:val="auto"/>
                <w:szCs w:val="21"/>
                <w:highlight w:val="none"/>
                <w:lang w:val="en-US" w:eastAsia="zh-CN"/>
              </w:rPr>
            </w:pPr>
            <w:r>
              <w:rPr>
                <w:rFonts w:hint="eastAsia" w:ascii="仿宋" w:hAnsi="仿宋" w:eastAsia="仿宋"/>
                <w:color w:val="auto"/>
                <w:szCs w:val="21"/>
                <w:highlight w:val="none"/>
                <w:lang w:val="en-US" w:eastAsia="zh-CN"/>
              </w:rPr>
              <w:t>4</w:t>
            </w:r>
          </w:p>
        </w:tc>
        <w:tc>
          <w:tcPr>
            <w:tcW w:w="2040"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ascii="仿宋" w:hAnsi="仿宋" w:eastAsia="仿宋"/>
                <w:color w:val="auto"/>
                <w:szCs w:val="21"/>
                <w:highlight w:val="none"/>
              </w:rPr>
              <w:t>诚信情况</w:t>
            </w:r>
          </w:p>
        </w:tc>
        <w:tc>
          <w:tcPr>
            <w:tcW w:w="4380" w:type="dxa"/>
            <w:gridSpan w:val="4"/>
            <w:tcBorders>
              <w:top w:val="single" w:color="auto" w:sz="4" w:space="0"/>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r>
              <w:rPr>
                <w:rFonts w:hint="eastAsia" w:ascii="仿宋" w:hAnsi="仿宋" w:eastAsia="仿宋"/>
                <w:color w:val="auto"/>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vMerge w:val="restart"/>
            <w:tcBorders>
              <w:top w:val="single" w:color="auto" w:sz="4" w:space="0"/>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序号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评分因素</w:t>
            </w:r>
          </w:p>
        </w:tc>
        <w:tc>
          <w:tcPr>
            <w:tcW w:w="600" w:type="dxa"/>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权重</w:t>
            </w:r>
          </w:p>
        </w:tc>
        <w:tc>
          <w:tcPr>
            <w:tcW w:w="3780" w:type="dxa"/>
            <w:gridSpan w:val="3"/>
            <w:tcBorders>
              <w:top w:val="single" w:color="auto" w:sz="4" w:space="0"/>
              <w:left w:val="single" w:color="auto" w:sz="4" w:space="0"/>
              <w:bottom w:val="single" w:color="auto" w:sz="4" w:space="0"/>
              <w:right w:val="single" w:color="auto" w:sz="4" w:space="0"/>
            </w:tcBorders>
            <w:noWrap w:val="0"/>
            <w:vAlign w:val="center"/>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vMerge w:val="continue"/>
            <w:tcBorders>
              <w:left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1</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诚信管理情况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仿宋" w:hAnsi="仿宋" w:eastAsia="仿宋" w:cs="宋体"/>
                <w:color w:val="auto"/>
                <w:szCs w:val="21"/>
                <w:highlight w:val="none"/>
              </w:rPr>
            </w:pPr>
            <w:r>
              <w:rPr>
                <w:rFonts w:hint="eastAsia" w:ascii="仿宋" w:hAnsi="仿宋" w:eastAsia="仿宋"/>
                <w:color w:val="auto"/>
                <w:szCs w:val="21"/>
                <w:highlight w:val="none"/>
                <w:lang w:val="en-US" w:eastAsia="zh-CN"/>
              </w:rPr>
              <w:t>5</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s="宋体"/>
                <w:color w:val="auto"/>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483" w:type="dxa"/>
            <w:vMerge w:val="continue"/>
            <w:tcBorders>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40" w:type="dxa"/>
            <w:vMerge w:val="continue"/>
            <w:tcBorders>
              <w:left w:val="single" w:color="auto" w:sz="4" w:space="0"/>
              <w:bottom w:val="single" w:color="auto" w:sz="4" w:space="0"/>
              <w:right w:val="single" w:color="auto" w:sz="4" w:space="0"/>
            </w:tcBorders>
            <w:noWrap w:val="0"/>
            <w:vAlign w:val="top"/>
          </w:tcPr>
          <w:p>
            <w:pPr>
              <w:jc w:val="center"/>
              <w:rPr>
                <w:rFonts w:ascii="仿宋" w:hAnsi="仿宋" w:eastAsia="仿宋"/>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仿宋" w:hAnsi="仿宋" w:eastAsia="仿宋" w:cs="宋体"/>
                <w:color w:val="auto"/>
                <w:szCs w:val="21"/>
                <w:highlight w:val="none"/>
              </w:rPr>
            </w:pPr>
            <w:r>
              <w:rPr>
                <w:rFonts w:ascii="仿宋" w:hAnsi="仿宋" w:eastAsia="仿宋"/>
                <w:color w:val="auto"/>
                <w:szCs w:val="21"/>
                <w:highlight w:val="none"/>
              </w:rPr>
              <w:t>2</w:t>
            </w:r>
          </w:p>
        </w:tc>
        <w:tc>
          <w:tcPr>
            <w:tcW w:w="1530"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履约评价情况</w:t>
            </w:r>
          </w:p>
        </w:tc>
        <w:tc>
          <w:tcPr>
            <w:tcW w:w="600" w:type="dxa"/>
            <w:tcBorders>
              <w:top w:val="single" w:color="auto" w:sz="4" w:space="0"/>
              <w:left w:val="single" w:color="auto" w:sz="4" w:space="0"/>
              <w:bottom w:val="single" w:color="auto" w:sz="4" w:space="0"/>
              <w:right w:val="single" w:color="auto" w:sz="4" w:space="0"/>
            </w:tcBorders>
            <w:noWrap w:val="0"/>
            <w:vAlign w:val="top"/>
          </w:tcPr>
          <w:p>
            <w:pPr>
              <w:wordWrap w:val="0"/>
              <w:jc w:val="center"/>
              <w:rPr>
                <w:rFonts w:ascii="仿宋" w:hAnsi="仿宋" w:eastAsia="仿宋" w:cs="宋体"/>
                <w:color w:val="auto"/>
                <w:szCs w:val="21"/>
                <w:highlight w:val="none"/>
              </w:rPr>
            </w:pPr>
            <w:r>
              <w:rPr>
                <w:rFonts w:hint="eastAsia" w:ascii="仿宋" w:hAnsi="仿宋" w:eastAsia="仿宋"/>
                <w:color w:val="auto"/>
                <w:szCs w:val="21"/>
                <w:highlight w:val="none"/>
                <w:lang w:val="en-US" w:eastAsia="zh-CN"/>
              </w:rPr>
              <w:t>2</w:t>
            </w:r>
          </w:p>
        </w:tc>
        <w:tc>
          <w:tcPr>
            <w:tcW w:w="3780" w:type="dxa"/>
            <w:gridSpan w:val="3"/>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highlight w:val="none"/>
              </w:rPr>
            </w:pPr>
            <w:r>
              <w:rPr>
                <w:rFonts w:ascii="仿宋" w:hAnsi="仿宋" w:eastAsia="仿宋"/>
                <w:color w:val="auto"/>
                <w:szCs w:val="21"/>
                <w:highlight w:val="none"/>
              </w:rPr>
              <w:t>近三年（以投标截止日期为准）在政府采购</w:t>
            </w:r>
            <w:r>
              <w:rPr>
                <w:rFonts w:hint="eastAsia" w:ascii="仿宋" w:hAnsi="仿宋" w:eastAsia="仿宋"/>
                <w:color w:val="auto"/>
                <w:szCs w:val="21"/>
                <w:highlight w:val="none"/>
                <w:lang w:val="en-US" w:eastAsia="zh-CN"/>
              </w:rPr>
              <w:t>活动</w:t>
            </w:r>
            <w:r>
              <w:rPr>
                <w:rFonts w:ascii="仿宋" w:hAnsi="仿宋" w:eastAsia="仿宋"/>
                <w:color w:val="auto"/>
                <w:szCs w:val="21"/>
                <w:highlight w:val="none"/>
              </w:rPr>
              <w:t>中有履约评价为差的记录，本项不得分，否则，得满分。</w:t>
            </w:r>
            <w:r>
              <w:rPr>
                <w:rFonts w:ascii="仿宋" w:hAnsi="仿宋" w:eastAsia="仿宋" w:cs="宋体"/>
                <w:color w:val="auto"/>
                <w:szCs w:val="21"/>
                <w:highlight w:val="none"/>
              </w:rPr>
              <w:t>投标人无需提供任何证明材料，由工作人员向评委会提供相关信息。</w:t>
            </w:r>
          </w:p>
        </w:tc>
      </w:tr>
    </w:tbl>
    <w:p>
      <w:pPr>
        <w:rPr>
          <w:rFonts w:hint="eastAsia" w:ascii="方正小标宋_GBK" w:hAnsi="宋体" w:eastAsia="方正小标宋_GBK" w:cs="黑体"/>
          <w:bCs/>
          <w:color w:val="000000"/>
          <w:kern w:val="0"/>
          <w:sz w:val="44"/>
          <w:szCs w:val="44"/>
          <w:lang w:val="en-US" w:eastAsia="zh-CN" w:bidi="ar"/>
        </w:rPr>
      </w:pPr>
      <w:r>
        <w:rPr>
          <w:rFonts w:hint="eastAsia" w:ascii="方正小标宋_GBK" w:hAnsi="宋体" w:eastAsia="方正小标宋_GBK" w:cs="黑体"/>
          <w:bCs/>
          <w:color w:val="000000"/>
          <w:kern w:val="0"/>
          <w:sz w:val="44"/>
          <w:szCs w:val="44"/>
          <w:lang w:val="en-US" w:eastAsia="zh-CN" w:bidi="ar"/>
        </w:rPr>
        <w:br w:type="page"/>
      </w:r>
    </w:p>
    <w:p>
      <w:pPr>
        <w:keepNext w:val="0"/>
        <w:keepLines w:val="0"/>
        <w:pageBreakBefore w:val="0"/>
        <w:widowControl w:val="0"/>
        <w:suppressLineNumbers w:val="0"/>
        <w:kinsoku/>
        <w:wordWrap/>
        <w:overflowPunct/>
        <w:topLinePunct w:val="0"/>
        <w:autoSpaceDE/>
        <w:autoSpaceDN/>
        <w:bidi w:val="0"/>
        <w:snapToGrid/>
        <w:spacing w:before="0" w:beforeAutospacing="0" w:after="0" w:afterAutospacing="0" w:line="560" w:lineRule="exact"/>
        <w:ind w:left="0" w:right="0"/>
        <w:jc w:val="center"/>
        <w:textAlignment w:val="auto"/>
        <w:rPr>
          <w:rFonts w:hint="eastAsia" w:ascii="方正小标宋_GBK" w:hAnsi="宋体" w:eastAsia="方正小标宋_GBK" w:cs="黑体"/>
          <w:bCs/>
          <w:color w:val="000000"/>
          <w:kern w:val="0"/>
          <w:sz w:val="44"/>
          <w:szCs w:val="44"/>
          <w:lang w:val="en-US"/>
        </w:rPr>
      </w:pPr>
      <w:r>
        <w:rPr>
          <w:rFonts w:hint="eastAsia" w:ascii="方正小标宋_GBK" w:hAnsi="宋体" w:eastAsia="方正小标宋_GBK" w:cs="黑体"/>
          <w:bCs/>
          <w:color w:val="000000"/>
          <w:kern w:val="0"/>
          <w:sz w:val="44"/>
          <w:szCs w:val="44"/>
          <w:lang w:val="en-US" w:eastAsia="zh-CN" w:bidi="ar"/>
        </w:rPr>
        <w:t>政府采购投标及履约承诺函</w:t>
      </w:r>
    </w:p>
    <w:p>
      <w:pPr>
        <w:rPr>
          <w:rFonts w:hint="eastAsia"/>
          <w:lang w:val="en-US"/>
        </w:rPr>
      </w:pPr>
    </w:p>
    <w:p>
      <w:pPr>
        <w:pStyle w:val="7"/>
        <w:keepNext w:val="0"/>
        <w:keepLines w:val="0"/>
        <w:pageBreakBefore w:val="0"/>
        <w:widowControl/>
        <w:kinsoku/>
        <w:wordWrap/>
        <w:overflowPunct/>
        <w:topLinePunct w:val="0"/>
        <w:autoSpaceDE/>
        <w:autoSpaceDN/>
        <w:bidi w:val="0"/>
        <w:snapToGrid/>
        <w:spacing w:line="560" w:lineRule="exact"/>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深圳市野生动植物保护管理处：</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我单位深知本项目对贵处的重要性和紧迫性，亦了解贵处对廉政建设的相关要求，因此我单位承诺如下：</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w:t>
      </w:r>
      <w:r>
        <w:rPr>
          <w:rFonts w:hint="eastAsia" w:ascii="仿宋_GB2312" w:hAnsi="仿宋" w:eastAsia="仿宋_GB2312" w:cs="Times New Roman"/>
          <w:color w:val="000000"/>
          <w:sz w:val="30"/>
          <w:szCs w:val="30"/>
          <w:lang w:eastAsia="zh-CN"/>
        </w:rPr>
        <w:t>我单位本招标项目所提供的货物或服务未侵犯知识产权。</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2.</w:t>
      </w:r>
      <w:r>
        <w:rPr>
          <w:rFonts w:hint="eastAsia" w:ascii="仿宋_GB2312" w:hAnsi="仿宋" w:eastAsia="仿宋_GB2312" w:cs="Times New Roman"/>
          <w:color w:val="000000"/>
          <w:sz w:val="30"/>
          <w:szCs w:val="30"/>
          <w:lang w:eastAsia="zh-CN"/>
        </w:rPr>
        <w:t>我单位参与本项目投标前三年内，在经营活动中没有违法记录。</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3.</w:t>
      </w:r>
      <w:r>
        <w:rPr>
          <w:rFonts w:hint="eastAsia" w:ascii="仿宋_GB2312" w:hAnsi="仿宋" w:eastAsia="仿宋_GB2312" w:cs="Times New Roman"/>
          <w:color w:val="000000"/>
          <w:sz w:val="30"/>
          <w:szCs w:val="30"/>
          <w:lang w:eastAsia="zh-CN"/>
        </w:rPr>
        <w:t>我单位参与本项目政府采购活动时不存在被有关科室禁止参与政府采购活动且在有效期内的情况。</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4.</w:t>
      </w:r>
      <w:r>
        <w:rPr>
          <w:rFonts w:hint="eastAsia" w:ascii="仿宋_GB2312" w:hAnsi="仿宋" w:eastAsia="仿宋_GB2312" w:cs="Times New Roman"/>
          <w:color w:val="000000"/>
          <w:sz w:val="30"/>
          <w:szCs w:val="30"/>
          <w:lang w:eastAsia="zh-CN"/>
        </w:rPr>
        <w:t>我单位具备《中华人民共和国政府采购法》第二十二条第一款的条件。</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5.</w:t>
      </w:r>
      <w:r>
        <w:rPr>
          <w:rFonts w:hint="eastAsia" w:ascii="仿宋_GB2312" w:hAnsi="仿宋" w:eastAsia="仿宋_GB2312" w:cs="Times New Roman"/>
          <w:color w:val="000000"/>
          <w:sz w:val="30"/>
          <w:szCs w:val="30"/>
          <w:lang w:eastAsia="zh-CN"/>
        </w:rPr>
        <w:t>我单位未被列入失信被执行人、税收违法案件当事人名单、政府采购严重违法失信行为记录名单。</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6.</w:t>
      </w:r>
      <w:r>
        <w:rPr>
          <w:rFonts w:hint="eastAsia" w:ascii="仿宋_GB2312" w:hAnsi="仿宋" w:eastAsia="仿宋_GB2312" w:cs="Times New Roman"/>
          <w:color w:val="000000"/>
          <w:sz w:val="30"/>
          <w:szCs w:val="30"/>
          <w:lang w:eastAsia="zh-CN"/>
        </w:rPr>
        <w:t>我单位参与该项目投标，严格遵循公平竞争的原则，不恶意串通，不妨碍其他投标人的竞争行为，不损害采购人或者其他投标人的合法权益。我单位已清楚，如违反上述要求，将作投标无效处理，并自动放弃贵处自本项目起所有采购项目的投标事宜。</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7.</w:t>
      </w:r>
      <w:r>
        <w:rPr>
          <w:rFonts w:hint="eastAsia" w:ascii="仿宋_GB2312" w:hAnsi="仿宋" w:eastAsia="仿宋_GB2312" w:cs="Times New Roman"/>
          <w:color w:val="000000"/>
          <w:sz w:val="30"/>
          <w:szCs w:val="30"/>
          <w:lang w:eastAsia="zh-CN"/>
        </w:rPr>
        <w:t>我单位如果中标，做到诚实守信，依照本项目招标文件需求内容、签署的采购合同及本单位在投标中所作的一切承诺履约。</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8.</w:t>
      </w:r>
      <w:r>
        <w:rPr>
          <w:rFonts w:hint="eastAsia" w:ascii="仿宋_GB2312" w:hAnsi="仿宋" w:eastAsia="仿宋_GB2312" w:cs="Times New Roman"/>
          <w:color w:val="000000"/>
          <w:sz w:val="30"/>
          <w:szCs w:val="30"/>
          <w:lang w:eastAsia="zh-CN"/>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相关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相关部门的处理处罚。</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9.</w:t>
      </w:r>
      <w:r>
        <w:rPr>
          <w:rFonts w:hint="eastAsia" w:ascii="仿宋_GB2312" w:hAnsi="仿宋" w:eastAsia="仿宋_GB2312" w:cs="Times New Roman"/>
          <w:color w:val="000000"/>
          <w:sz w:val="30"/>
          <w:szCs w:val="30"/>
          <w:lang w:eastAsia="zh-CN"/>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相关部门作出的行政处罚。</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10.</w:t>
      </w:r>
      <w:r>
        <w:rPr>
          <w:rFonts w:hint="eastAsia" w:ascii="仿宋_GB2312" w:hAnsi="仿宋" w:eastAsia="仿宋_GB2312" w:cs="Times New Roman"/>
          <w:color w:val="000000"/>
          <w:sz w:val="30"/>
          <w:szCs w:val="30"/>
          <w:lang w:eastAsia="zh-CN"/>
        </w:rPr>
        <w:t>我单位承诺不非法转包、分包。</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11.</w:t>
      </w:r>
      <w:r>
        <w:rPr>
          <w:rFonts w:hint="eastAsia" w:ascii="仿宋_GB2312" w:hAnsi="仿宋" w:eastAsia="仿宋_GB2312" w:cs="Times New Roman"/>
          <w:color w:val="000000"/>
          <w:sz w:val="30"/>
          <w:szCs w:val="30"/>
          <w:lang w:eastAsia="zh-CN"/>
        </w:rPr>
        <w:t>我单位承诺未参与本项目的采购需求、技术指标、商务指标等内容的设定，不存在对其他投标单位不公平的行为。</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12.</w:t>
      </w:r>
      <w:r>
        <w:rPr>
          <w:rFonts w:hint="eastAsia" w:ascii="仿宋_GB2312" w:hAnsi="仿宋" w:eastAsia="仿宋_GB2312" w:cs="Times New Roman"/>
          <w:color w:val="000000"/>
          <w:sz w:val="30"/>
          <w:szCs w:val="30"/>
          <w:lang w:eastAsia="zh-CN"/>
        </w:rPr>
        <w:t>我单位承诺不对采购人进行贿赂，进行有偿报答。</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13.</w:t>
      </w:r>
      <w:r>
        <w:rPr>
          <w:rFonts w:hint="eastAsia" w:ascii="仿宋_GB2312" w:hAnsi="仿宋" w:eastAsia="仿宋_GB2312" w:cs="Times New Roman"/>
          <w:color w:val="000000"/>
          <w:sz w:val="30"/>
          <w:szCs w:val="30"/>
          <w:lang w:eastAsia="zh-CN"/>
        </w:rPr>
        <w:t>我单位承诺不对采购人进行任何形式的利益输送。</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14.</w:t>
      </w:r>
      <w:r>
        <w:rPr>
          <w:rFonts w:hint="eastAsia" w:ascii="仿宋_GB2312" w:hAnsi="仿宋" w:eastAsia="仿宋_GB2312" w:cs="Times New Roman"/>
          <w:color w:val="000000"/>
          <w:sz w:val="30"/>
          <w:szCs w:val="30"/>
          <w:lang w:eastAsia="zh-CN"/>
        </w:rPr>
        <w:t>我单位承诺不对采购人进行宴请和娱乐等消费活动。</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15.</w:t>
      </w:r>
      <w:r>
        <w:rPr>
          <w:rFonts w:hint="eastAsia" w:ascii="仿宋_GB2312" w:hAnsi="仿宋" w:eastAsia="仿宋_GB2312" w:cs="Times New Roman"/>
          <w:color w:val="000000"/>
          <w:sz w:val="30"/>
          <w:szCs w:val="30"/>
          <w:lang w:eastAsia="zh-CN"/>
        </w:rPr>
        <w:t>我单位承诺不对采购人进行赠送各种礼品、现金、有价证券、中介费、好处费等行为。</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eastAsia="zh-CN"/>
        </w:rPr>
        <w:t>以上承诺，如有违反，愿依照国家相关法律处理，并承担由此给采购人带来的损失。</w:t>
      </w:r>
    </w:p>
    <w:p>
      <w:pPr>
        <w:pStyle w:val="7"/>
        <w:keepNext w:val="0"/>
        <w:keepLines w:val="0"/>
        <w:pageBreakBefore w:val="0"/>
        <w:widowControl/>
        <w:kinsoku/>
        <w:wordWrap/>
        <w:overflowPunct/>
        <w:topLinePunct w:val="0"/>
        <w:autoSpaceDE/>
        <w:autoSpaceDN/>
        <w:bidi w:val="0"/>
        <w:snapToGrid/>
        <w:spacing w:line="560" w:lineRule="exact"/>
        <w:ind w:left="0" w:firstLine="600" w:firstLineChars="200"/>
        <w:textAlignment w:val="auto"/>
        <w:outlineLvl w:val="0"/>
        <w:rPr>
          <w:rFonts w:hint="eastAsia" w:ascii="仿宋_GB2312" w:hAnsi="仿宋" w:eastAsia="仿宋_GB2312" w:cs="Times New Roman"/>
          <w:color w:val="000000"/>
          <w:sz w:val="30"/>
          <w:szCs w:val="30"/>
          <w:lang w:val="en-US"/>
        </w:rPr>
      </w:pPr>
      <w:r>
        <w:rPr>
          <w:rFonts w:hint="eastAsia" w:ascii="仿宋_GB2312" w:hAnsi="仿宋" w:eastAsia="仿宋_GB2312" w:cs="Times New Roman"/>
          <w:color w:val="000000"/>
          <w:sz w:val="30"/>
          <w:szCs w:val="30"/>
          <w:lang w:val="en-US"/>
        </w:rPr>
        <w:t xml:space="preserve">                              </w:t>
      </w:r>
      <w:r>
        <w:rPr>
          <w:rFonts w:hint="eastAsia" w:ascii="仿宋_GB2312" w:hAnsi="仿宋" w:eastAsia="仿宋_GB2312" w:cs="Times New Roman"/>
          <w:color w:val="000000"/>
          <w:sz w:val="30"/>
          <w:szCs w:val="30"/>
          <w:lang w:eastAsia="zh-CN"/>
        </w:rPr>
        <w:t>承诺单位（公司）盖章：</w:t>
      </w:r>
    </w:p>
    <w:p>
      <w:pPr>
        <w:pStyle w:val="15"/>
        <w:keepNext w:val="0"/>
        <w:keepLines w:val="0"/>
        <w:pageBreakBefore w:val="0"/>
        <w:widowControl/>
        <w:kinsoku/>
        <w:wordWrap/>
        <w:overflowPunct/>
        <w:topLinePunct w:val="0"/>
        <w:autoSpaceDE/>
        <w:autoSpaceDN/>
        <w:bidi w:val="0"/>
        <w:adjustRightInd w:val="0"/>
        <w:snapToGrid/>
        <w:spacing w:line="560" w:lineRule="exact"/>
        <w:ind w:left="0" w:firstLine="600"/>
        <w:textAlignment w:val="auto"/>
        <w:rPr>
          <w:lang w:val="en-US"/>
        </w:rPr>
      </w:pP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年</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月</w:t>
      </w:r>
      <w:r>
        <w:rPr>
          <w:rFonts w:hint="eastAsia" w:ascii="仿宋_GB2312" w:hAnsi="仿宋" w:eastAsia="仿宋_GB2312" w:cs="仿宋_GB2312"/>
          <w:color w:val="000000"/>
          <w:sz w:val="30"/>
          <w:szCs w:val="30"/>
          <w:lang w:val="en-US"/>
        </w:rPr>
        <w:t xml:space="preserve">   </w:t>
      </w:r>
      <w:r>
        <w:rPr>
          <w:rFonts w:hint="eastAsia" w:ascii="仿宋_GB2312" w:hAnsi="仿宋" w:eastAsia="仿宋_GB2312" w:cs="仿宋_GB2312"/>
          <w:color w:val="000000"/>
          <w:sz w:val="30"/>
          <w:szCs w:val="30"/>
          <w:lang w:eastAsia="zh-CN"/>
        </w:rPr>
        <w:t>日</w:t>
      </w:r>
    </w:p>
    <w:p>
      <w:r>
        <w:br w:type="page"/>
      </w:r>
    </w:p>
    <w:p>
      <w:pPr>
        <w:pageBreakBefore w:val="0"/>
        <w:kinsoku/>
        <w:wordWrap/>
        <w:overflowPunct/>
        <w:topLinePunct w:val="0"/>
        <w:autoSpaceDE w:val="0"/>
        <w:autoSpaceDN w:val="0"/>
        <w:bidi w:val="0"/>
        <w:adjustRightInd w:val="0"/>
        <w:snapToGrid/>
        <w:spacing w:line="560" w:lineRule="exact"/>
        <w:jc w:val="center"/>
        <w:textAlignment w:val="auto"/>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宋体" w:eastAsia="方正小标宋_GBK" w:cs="黑体"/>
          <w:b w:val="0"/>
          <w:bCs/>
          <w:color w:val="000000"/>
          <w:kern w:val="0"/>
          <w:sz w:val="44"/>
          <w:szCs w:val="44"/>
          <w:lang w:eastAsia="zh-CN" w:bidi="ar"/>
        </w:rPr>
        <w:t>政府采购违法行为风险知悉确认书</w:t>
      </w:r>
    </w:p>
    <w:p>
      <w:pPr>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sz w:val="32"/>
          <w:szCs w:val="32"/>
          <w:lang w:val="en-US" w:eastAsia="zh-CN"/>
        </w:rPr>
        <w:t>本公司在投标前已充分知悉以下情形为参与政府采购活动时的重大风险事项，并承诺已对下述风险提示事项重点排查，做到严谨、诚信、依法依规参与政府采购活动。</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一、本公司已充分知悉“隐瞒真实情况，提供虚假</w:t>
      </w:r>
      <w:r>
        <w:rPr>
          <w:rFonts w:hint="eastAsia" w:ascii="仿宋_GB2312" w:hAnsi="仿宋_GB2312" w:eastAsia="仿宋_GB2312" w:cs="仿宋_GB2312"/>
          <w:b/>
          <w:bCs/>
          <w:sz w:val="32"/>
          <w:szCs w:val="32"/>
          <w:highlight w:val="none"/>
          <w:lang w:val="en-US" w:eastAsia="zh-CN"/>
        </w:rPr>
        <w:t>资料</w:t>
      </w:r>
      <w:r>
        <w:rPr>
          <w:rFonts w:hint="eastAsia" w:ascii="仿宋_GB2312" w:hAnsi="仿宋_GB2312" w:eastAsia="仿宋_GB2312" w:cs="仿宋_GB2312"/>
          <w:b/>
          <w:bCs/>
          <w:sz w:val="32"/>
          <w:szCs w:val="32"/>
          <w:lang w:val="en-US" w:eastAsia="zh-CN"/>
        </w:rPr>
        <w:t>”的法定情形，相关情形包括但不限于</w:t>
      </w:r>
      <w:r>
        <w:rPr>
          <w:rFonts w:hint="eastAsia" w:ascii="仿宋_GB2312" w:hAnsi="仿宋_GB2312" w:eastAsia="仿宋_GB2312" w:cs="仿宋_GB2312"/>
          <w:sz w:val="32"/>
          <w:szCs w:val="32"/>
          <w:lang w:val="en-US" w:eastAsia="zh-CN"/>
        </w:rPr>
        <w:t>：</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（一）通过转让或者租借等方式从其他单位获取资格或者资质证书投标的。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（二）由其他单位或者其他单位负责人在投标供应商编制的投标文件上加盖印章或者签字的。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（三）项目负责人或者主要技术人员不是本单位人员的。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（四）投标保证金不是从投标供应商基本账户转出的。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（五）其他隐瞒真实情况、提供虚假资料的行为。</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二、本公司已充分知悉“与其他采购参加人串通投标”的法定情形，相关情形包括但不限于：</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（一）投标供应商之间相互约定给予未中标的供应商利益补偿。 </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（二）不同投标供应商的法定代表人、主要经营负责人、项目投标授权代表人、项目负责人、主要技术人员为同一人、属同一单位或者在同一单位缴纳社会保险。</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（三）不同投标供应商的投标文件由同一单位或者同一人编制，或者由同一人分阶段参与编制的。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（四）不同投标供应商的投标文件或部分投标文件相互混装。</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（五）不同投标供应商的投标文件内容存在非正常一致。</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（六）由同一单位工作人员为两家以上（含两家）供应商进行同一项投标活动的。</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b w:val="0"/>
          <w:bCs w:val="0"/>
          <w:sz w:val="32"/>
          <w:szCs w:val="32"/>
          <w:u w:val="none"/>
          <w:lang w:val="en-US" w:eastAsia="zh-CN"/>
        </w:rPr>
        <w:t>不同投标人的投标报价呈规律性差异。</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b w:val="0"/>
          <w:bCs w:val="0"/>
          <w:sz w:val="32"/>
          <w:szCs w:val="32"/>
          <w:u w:val="none"/>
          <w:lang w:val="en-US" w:eastAsia="zh-CN"/>
        </w:rPr>
        <w:t>不同投标人的投标保证金从同一单位或者个人的账户转出。</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（九）主管部门依照法律、法规认定的其他情形。</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三、本公司已充分知悉下列情形所对应的法律风险，并在投标前已对相关风险事项进行排查。</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（一）对于</w:t>
      </w:r>
      <w:r>
        <w:rPr>
          <w:rFonts w:hint="eastAsia" w:ascii="仿宋_GB2312" w:eastAsia="仿宋_GB2312"/>
          <w:sz w:val="32"/>
          <w:szCs w:val="32"/>
          <w:lang w:eastAsia="zh-CN"/>
        </w:rPr>
        <w:t>从</w:t>
      </w:r>
      <w:r>
        <w:rPr>
          <w:rFonts w:hint="eastAsia" w:ascii="仿宋_GB2312" w:hAnsi="仿宋_GB2312" w:eastAsia="仿宋_GB2312" w:cs="仿宋_GB2312"/>
          <w:sz w:val="32"/>
          <w:szCs w:val="32"/>
          <w:lang w:val="en-US" w:eastAsia="zh-CN"/>
        </w:rPr>
        <w:t>其他主体</w:t>
      </w:r>
      <w:r>
        <w:rPr>
          <w:rFonts w:hint="eastAsia" w:ascii="仿宋_GB2312" w:eastAsia="仿宋_GB2312"/>
          <w:sz w:val="32"/>
          <w:szCs w:val="32"/>
          <w:lang w:eastAsia="zh-CN"/>
        </w:rPr>
        <w:t>获取</w:t>
      </w:r>
      <w:r>
        <w:rPr>
          <w:rFonts w:hint="eastAsia" w:ascii="仿宋_GB2312" w:hAnsi="仿宋_GB2312" w:eastAsia="仿宋_GB2312" w:cs="仿宋_GB2312"/>
          <w:sz w:val="32"/>
          <w:szCs w:val="32"/>
          <w:lang w:val="en-US" w:eastAsia="zh-CN"/>
        </w:rPr>
        <w:t>的投标资料，供应商应审慎核查，确保投标资料的真实性。</w:t>
      </w:r>
      <w:r>
        <w:rPr>
          <w:rFonts w:hint="eastAsia" w:ascii="仿宋_GB2312" w:hAnsi="仿宋_GB2312" w:eastAsia="仿宋_GB2312" w:cs="仿宋_GB2312"/>
          <w:b/>
          <w:bCs/>
          <w:sz w:val="32"/>
          <w:szCs w:val="32"/>
          <w:lang w:val="en-US" w:eastAsia="zh-CN"/>
        </w:rPr>
        <w:t>如主管部门查实投标文件中存在虚假资料的，无论相关资料是否由第三方或本公司员工提供，均不影响主管部门对供应商存在“隐瞒真实情况，提供虚假资料”违法行为的认定。</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（三）对于涉及安全生产、特种作业、抢险救灾、防疫等政府采购项目，供应商实施提供虚假资料、串通投标等违法行为的，主管部门将依法从严处理。 </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（四）供应商应严格规范项目授权代表、员工参与招标投标的行为，加强对投标文件的审核。项目授权代表、员工</w:t>
      </w:r>
      <w:r>
        <w:rPr>
          <w:rFonts w:hint="eastAsia" w:ascii="仿宋_GB2312" w:eastAsia="仿宋_GB2312"/>
          <w:sz w:val="32"/>
          <w:szCs w:val="32"/>
          <w:lang w:eastAsia="zh-CN"/>
        </w:rPr>
        <w:t>编制、上传</w:t>
      </w:r>
      <w:r>
        <w:rPr>
          <w:rFonts w:hint="eastAsia" w:ascii="仿宋_GB2312" w:hAnsi="仿宋_GB2312" w:eastAsia="仿宋_GB2312" w:cs="仿宋_GB2312"/>
          <w:sz w:val="32"/>
          <w:szCs w:val="32"/>
          <w:lang w:val="en-US" w:eastAsia="zh-CN"/>
        </w:rPr>
        <w:t>投标文件</w:t>
      </w:r>
      <w:r>
        <w:rPr>
          <w:rFonts w:hint="eastAsia" w:ascii="仿宋_GB2312" w:eastAsia="仿宋_GB2312"/>
          <w:sz w:val="32"/>
          <w:szCs w:val="32"/>
          <w:lang w:eastAsia="zh-CN"/>
        </w:rPr>
        <w:t>等行为</w:t>
      </w:r>
      <w:r>
        <w:rPr>
          <w:rFonts w:hint="eastAsia" w:ascii="仿宋_GB2312" w:hAnsi="仿宋_GB2312" w:eastAsia="仿宋_GB2312" w:cs="仿宋_GB2312"/>
          <w:sz w:val="32"/>
          <w:szCs w:val="32"/>
          <w:lang w:val="en-US" w:eastAsia="zh-CN"/>
        </w:rPr>
        <w:t>违反政府采购法律法规或招标文件要求的，投标供应商应当依法承担相应法律责任。</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（六）</w:t>
      </w:r>
      <w:r>
        <w:rPr>
          <w:rFonts w:hint="eastAsia" w:ascii="仿宋_GB2312" w:hAnsi="仿宋_GB2312" w:eastAsia="仿宋_GB2312" w:cs="仿宋_GB2312"/>
          <w:b w:val="0"/>
          <w:bCs w:val="0"/>
          <w:sz w:val="32"/>
          <w:szCs w:val="32"/>
          <w:highlight w:val="none"/>
          <w:lang w:val="en-US" w:eastAsia="zh-CN"/>
        </w:rPr>
        <w:t>单位负责人为同一人或者存在直接控股、管理关系的不同供应商，不得参加同一合同项下的政府采购活动。相关情形</w:t>
      </w:r>
      <w:r>
        <w:rPr>
          <w:rFonts w:hint="eastAsia" w:ascii="仿宋_GB2312" w:eastAsia="仿宋_GB2312"/>
          <w:sz w:val="32"/>
          <w:szCs w:val="32"/>
          <w:lang w:eastAsia="zh-CN"/>
        </w:rPr>
        <w:t>如</w:t>
      </w:r>
      <w:r>
        <w:rPr>
          <w:rFonts w:hint="eastAsia" w:ascii="仿宋_GB2312" w:hAnsi="仿宋_GB2312" w:eastAsia="仿宋_GB2312" w:cs="仿宋_GB2312"/>
          <w:b w:val="0"/>
          <w:bCs w:val="0"/>
          <w:sz w:val="32"/>
          <w:szCs w:val="32"/>
          <w:highlight w:val="none"/>
          <w:lang w:val="en-US" w:eastAsia="zh-CN"/>
        </w:rPr>
        <w:t>查实，依法作投标无效处理；涉嫌串通投标等违法行为的，主管部门将依法调查处理。</w:t>
      </w:r>
    </w:p>
    <w:p>
      <w:pPr>
        <w:pageBreakBefore w:val="0"/>
        <w:numPr>
          <w:ilvl w:val="0"/>
          <w:numId w:val="0"/>
        </w:numPr>
        <w:kinsoku/>
        <w:wordWrap/>
        <w:overflowPunct/>
        <w:topLinePunct w:val="0"/>
        <w:bidi w:val="0"/>
        <w:snapToGrid/>
        <w:spacing w:line="560" w:lineRule="exact"/>
        <w:ind w:firstLine="642"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highlight w:val="none"/>
          <w:lang w:val="en-US" w:eastAsia="zh-CN"/>
        </w:rPr>
        <w:t>四、本公司已充分知悉</w:t>
      </w:r>
      <w:r>
        <w:rPr>
          <w:rFonts w:hint="eastAsia" w:ascii="仿宋_GB2312" w:hAnsi="仿宋_GB2312" w:eastAsia="仿宋_GB2312" w:cs="仿宋_GB2312"/>
          <w:b/>
          <w:bCs/>
          <w:sz w:val="32"/>
          <w:szCs w:val="32"/>
          <w:highlight w:val="none"/>
          <w:u w:val="none"/>
          <w:lang w:val="en-US" w:eastAsia="zh-CN"/>
        </w:rPr>
        <w:t>政府采购违法、违规行为</w:t>
      </w:r>
      <w:r>
        <w:rPr>
          <w:rFonts w:hint="eastAsia" w:ascii="仿宋_GB2312" w:hAnsi="仿宋_GB2312" w:eastAsia="仿宋_GB2312" w:cs="仿宋_GB2312"/>
          <w:b/>
          <w:bCs/>
          <w:sz w:val="32"/>
          <w:szCs w:val="32"/>
          <w:highlight w:val="none"/>
          <w:lang w:val="en-US" w:eastAsia="zh-CN"/>
        </w:rPr>
        <w:t>的法律后果。</w:t>
      </w:r>
      <w:r>
        <w:rPr>
          <w:rFonts w:hint="eastAsia" w:ascii="仿宋_GB2312" w:hAnsi="仿宋_GB2312" w:eastAsia="仿宋_GB2312" w:cs="仿宋_GB2312"/>
          <w:sz w:val="32"/>
          <w:szCs w:val="32"/>
          <w:lang w:val="en-US" w:eastAsia="zh-CN"/>
        </w:rPr>
        <w:t>经查实，若投标供应商存在</w:t>
      </w:r>
      <w:r>
        <w:rPr>
          <w:rFonts w:hint="eastAsia" w:ascii="仿宋_GB2312" w:hAnsi="仿宋_GB2312" w:eastAsia="仿宋_GB2312" w:cs="仿宋_GB2312"/>
          <w:sz w:val="32"/>
          <w:szCs w:val="32"/>
          <w:u w:val="none"/>
          <w:lang w:val="en-US" w:eastAsia="zh-CN"/>
        </w:rPr>
        <w:t>政府采购违法、违规行为</w:t>
      </w:r>
      <w:r>
        <w:rPr>
          <w:rFonts w:hint="eastAsia" w:ascii="仿宋_GB2312" w:hAnsi="仿宋_GB2312" w:eastAsia="仿宋_GB2312" w:cs="仿宋_GB2312"/>
          <w:sz w:val="32"/>
          <w:szCs w:val="32"/>
          <w:lang w:val="en-US" w:eastAsia="zh-CN"/>
        </w:rPr>
        <w:t>，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pageBreakBefore w:val="0"/>
        <w:numPr>
          <w:ilvl w:val="0"/>
          <w:numId w:val="0"/>
        </w:numPr>
        <w:kinsoku/>
        <w:wordWrap/>
        <w:overflowPunct/>
        <w:topLinePunct w:val="0"/>
        <w:bidi w:val="0"/>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以下文字请投标供应商抄写并确认：“本公司已仔细阅读《政府采购违法行为风险知悉确认书》，充分知悉违法行为的法律后果，并承诺将</w:t>
      </w:r>
      <w:r>
        <w:rPr>
          <w:rFonts w:hint="eastAsia" w:ascii="仿宋_GB2312" w:hAnsi="仿宋_GB2312" w:eastAsia="仿宋_GB2312" w:cs="仿宋_GB2312"/>
          <w:b w:val="0"/>
          <w:bCs w:val="0"/>
          <w:sz w:val="32"/>
          <w:szCs w:val="32"/>
          <w:lang w:val="en-US" w:eastAsia="zh-CN"/>
        </w:rPr>
        <w:t>严谨、诚信、依法依规参与政府采购活动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w:t>
      </w:r>
    </w:p>
    <w:p>
      <w:pPr>
        <w:pageBreakBefore w:val="0"/>
        <w:numPr>
          <w:ilvl w:val="0"/>
          <w:numId w:val="0"/>
        </w:numPr>
        <w:kinsoku/>
        <w:wordWrap/>
        <w:overflowPunct/>
        <w:topLinePunct w:val="0"/>
        <w:bidi w:val="0"/>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p>
    <w:p>
      <w:pPr>
        <w:pageBreakBefore w:val="0"/>
        <w:numPr>
          <w:ilvl w:val="0"/>
          <w:numId w:val="0"/>
        </w:numPr>
        <w:kinsoku/>
        <w:wordWrap/>
        <w:overflowPunct/>
        <w:topLinePunct w:val="0"/>
        <w:bidi w:val="0"/>
        <w:snapToGrid/>
        <w:spacing w:line="560" w:lineRule="exact"/>
        <w:textAlignment w:val="auto"/>
        <w:rPr>
          <w:rFonts w:hint="default" w:ascii="仿宋_GB2312" w:hAnsi="仿宋_GB2312" w:eastAsia="仿宋_GB2312" w:cs="仿宋_GB2312"/>
          <w:sz w:val="32"/>
          <w:szCs w:val="32"/>
          <w:highlight w:val="yellow"/>
          <w:lang w:val="en-US" w:eastAsia="zh-CN"/>
        </w:rPr>
      </w:pPr>
    </w:p>
    <w:p>
      <w:pPr>
        <w:pageBreakBefore w:val="0"/>
        <w:numPr>
          <w:ilvl w:val="0"/>
          <w:numId w:val="0"/>
        </w:numPr>
        <w:kinsoku/>
        <w:wordWrap/>
        <w:overflowPunct/>
        <w:topLinePunct w:val="0"/>
        <w:bidi w:val="0"/>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负责人/投标授权代表签名：</w:t>
      </w:r>
    </w:p>
    <w:p>
      <w:pPr>
        <w:pageBreakBefore w:val="0"/>
        <w:numPr>
          <w:ilvl w:val="0"/>
          <w:numId w:val="0"/>
        </w:numPr>
        <w:kinsoku/>
        <w:wordWrap/>
        <w:overflowPunct/>
        <w:topLinePunct w:val="0"/>
        <w:bidi w:val="0"/>
        <w:snapToGrid/>
        <w:spacing w:line="56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知悉人（公章）：</w:t>
      </w:r>
    </w:p>
    <w:p>
      <w:pPr>
        <w:pageBreakBefore w:val="0"/>
        <w:kinsoku/>
        <w:wordWrap/>
        <w:overflowPunct/>
        <w:topLinePunct w:val="0"/>
        <w:bidi w:val="0"/>
        <w:snapToGrid/>
        <w:spacing w:line="560" w:lineRule="exact"/>
        <w:textAlignment w:val="auto"/>
        <w:rPr>
          <w:sz w:val="32"/>
          <w:szCs w:val="32"/>
        </w:rPr>
      </w:pPr>
      <w:r>
        <w:rPr>
          <w:rFonts w:hint="eastAsia" w:ascii="仿宋_GB2312" w:hAnsi="仿宋_GB2312" w:eastAsia="仿宋_GB2312" w:cs="仿宋_GB2312"/>
          <w:sz w:val="32"/>
          <w:szCs w:val="32"/>
          <w:lang w:val="en-US" w:eastAsia="zh-CN"/>
        </w:rPr>
        <w:t xml:space="preserve">                    日期：</w:t>
      </w:r>
    </w:p>
    <w:p/>
    <w:p/>
    <w:p/>
    <w:p/>
    <w:p>
      <w:pPr>
        <w:pStyle w:val="3"/>
      </w:pPr>
    </w:p>
    <w:sectPr>
      <w:footerReference r:id="rId3" w:type="default"/>
      <w:pgSz w:w="11906" w:h="16838"/>
      <w:pgMar w:top="2098"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方正黑体_GBK">
    <w:panose1 w:val="02000000000000000000"/>
    <w:charset w:val="86"/>
    <w:family w:val="auto"/>
    <w:pitch w:val="default"/>
    <w:sig w:usb0="00000001" w:usb1="08000000" w:usb2="00000000"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E0DD6B"/>
    <w:multiLevelType w:val="singleLevel"/>
    <w:tmpl w:val="CFE0D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xNTFmMjAwZmFiNzJjYTgyZmNkMGJkOTE2MmYxZDAifQ=="/>
  </w:docVars>
  <w:rsids>
    <w:rsidRoot w:val="13EB4D81"/>
    <w:rsid w:val="02043E77"/>
    <w:rsid w:val="02CC7E5E"/>
    <w:rsid w:val="02E05BC2"/>
    <w:rsid w:val="044B629E"/>
    <w:rsid w:val="059950E5"/>
    <w:rsid w:val="06B3316B"/>
    <w:rsid w:val="081B704C"/>
    <w:rsid w:val="0AF14EB0"/>
    <w:rsid w:val="0C6F018C"/>
    <w:rsid w:val="0EC74FCE"/>
    <w:rsid w:val="0F4F34C3"/>
    <w:rsid w:val="10257962"/>
    <w:rsid w:val="116D6526"/>
    <w:rsid w:val="12B71AE0"/>
    <w:rsid w:val="136C53C8"/>
    <w:rsid w:val="13EB4D81"/>
    <w:rsid w:val="17D46072"/>
    <w:rsid w:val="18B647B1"/>
    <w:rsid w:val="18EB339E"/>
    <w:rsid w:val="19806A0D"/>
    <w:rsid w:val="19B45747"/>
    <w:rsid w:val="19C318B2"/>
    <w:rsid w:val="1BCB46BE"/>
    <w:rsid w:val="1BF76E02"/>
    <w:rsid w:val="1C7D0D9F"/>
    <w:rsid w:val="1CA76F38"/>
    <w:rsid w:val="1CBD05D8"/>
    <w:rsid w:val="1D617A1B"/>
    <w:rsid w:val="1DE76975"/>
    <w:rsid w:val="1FF7738F"/>
    <w:rsid w:val="20A328DD"/>
    <w:rsid w:val="20E57FD0"/>
    <w:rsid w:val="219624C7"/>
    <w:rsid w:val="21D57BD1"/>
    <w:rsid w:val="223A3BFE"/>
    <w:rsid w:val="227B299A"/>
    <w:rsid w:val="228274AE"/>
    <w:rsid w:val="267020B3"/>
    <w:rsid w:val="27ED9A4C"/>
    <w:rsid w:val="28613FAC"/>
    <w:rsid w:val="28AC24C6"/>
    <w:rsid w:val="28B7957A"/>
    <w:rsid w:val="28BF4141"/>
    <w:rsid w:val="29EE72EC"/>
    <w:rsid w:val="2D3932A7"/>
    <w:rsid w:val="2F8B3229"/>
    <w:rsid w:val="2FBD6003"/>
    <w:rsid w:val="30272C8D"/>
    <w:rsid w:val="30951B54"/>
    <w:rsid w:val="31020455"/>
    <w:rsid w:val="31AF3D3F"/>
    <w:rsid w:val="31E278F0"/>
    <w:rsid w:val="33307B11"/>
    <w:rsid w:val="339C60E5"/>
    <w:rsid w:val="375FDA67"/>
    <w:rsid w:val="38743603"/>
    <w:rsid w:val="38F7DA4B"/>
    <w:rsid w:val="39822A43"/>
    <w:rsid w:val="3A6E49B6"/>
    <w:rsid w:val="3B751759"/>
    <w:rsid w:val="3BDB4B03"/>
    <w:rsid w:val="3CDB2766"/>
    <w:rsid w:val="3D5B0230"/>
    <w:rsid w:val="3D955295"/>
    <w:rsid w:val="3DA7F370"/>
    <w:rsid w:val="3E43485C"/>
    <w:rsid w:val="3E4B7BBA"/>
    <w:rsid w:val="3EA66B99"/>
    <w:rsid w:val="3ED99CF4"/>
    <w:rsid w:val="3EEB08A4"/>
    <w:rsid w:val="3F6E02C6"/>
    <w:rsid w:val="3FBF9872"/>
    <w:rsid w:val="3FFF0196"/>
    <w:rsid w:val="408239BE"/>
    <w:rsid w:val="40FE0993"/>
    <w:rsid w:val="412B1C3C"/>
    <w:rsid w:val="42C870FB"/>
    <w:rsid w:val="42EB3FDA"/>
    <w:rsid w:val="431055F6"/>
    <w:rsid w:val="43B301C5"/>
    <w:rsid w:val="43DA7DB9"/>
    <w:rsid w:val="44015C41"/>
    <w:rsid w:val="45AC44B3"/>
    <w:rsid w:val="46C9506E"/>
    <w:rsid w:val="46EB6DD7"/>
    <w:rsid w:val="47DA22F7"/>
    <w:rsid w:val="4923730E"/>
    <w:rsid w:val="4CD31DF9"/>
    <w:rsid w:val="4D1D72A1"/>
    <w:rsid w:val="4D530C01"/>
    <w:rsid w:val="4DBEC1BD"/>
    <w:rsid w:val="4E634927"/>
    <w:rsid w:val="4E7B5772"/>
    <w:rsid w:val="4EBFE8A0"/>
    <w:rsid w:val="4F0963B9"/>
    <w:rsid w:val="4FBF6151"/>
    <w:rsid w:val="506643DA"/>
    <w:rsid w:val="518A2426"/>
    <w:rsid w:val="529C505F"/>
    <w:rsid w:val="536A40DB"/>
    <w:rsid w:val="56520423"/>
    <w:rsid w:val="56BD530D"/>
    <w:rsid w:val="56DE698A"/>
    <w:rsid w:val="56EDBC99"/>
    <w:rsid w:val="593E34F6"/>
    <w:rsid w:val="59AF5F1E"/>
    <w:rsid w:val="5A3647B2"/>
    <w:rsid w:val="5A8C4B8D"/>
    <w:rsid w:val="5A8E306C"/>
    <w:rsid w:val="5C950FFB"/>
    <w:rsid w:val="5CDF3B04"/>
    <w:rsid w:val="5EFF6126"/>
    <w:rsid w:val="5FB47C92"/>
    <w:rsid w:val="62C2222D"/>
    <w:rsid w:val="63BC6CB1"/>
    <w:rsid w:val="64955BFC"/>
    <w:rsid w:val="65BE3CE9"/>
    <w:rsid w:val="65EF4D6C"/>
    <w:rsid w:val="65EFAFE3"/>
    <w:rsid w:val="66BB7C5E"/>
    <w:rsid w:val="68EB6672"/>
    <w:rsid w:val="696D5485"/>
    <w:rsid w:val="69EE7572"/>
    <w:rsid w:val="6A621215"/>
    <w:rsid w:val="6AFE25EF"/>
    <w:rsid w:val="6B1C40CD"/>
    <w:rsid w:val="6BEF41A0"/>
    <w:rsid w:val="6C8310D8"/>
    <w:rsid w:val="6CE95ABF"/>
    <w:rsid w:val="6F7FD5BC"/>
    <w:rsid w:val="6F89561B"/>
    <w:rsid w:val="6FCFE10A"/>
    <w:rsid w:val="6FF551F8"/>
    <w:rsid w:val="700F246F"/>
    <w:rsid w:val="70273ECD"/>
    <w:rsid w:val="70487BA3"/>
    <w:rsid w:val="707E401E"/>
    <w:rsid w:val="71857445"/>
    <w:rsid w:val="71A71502"/>
    <w:rsid w:val="72741015"/>
    <w:rsid w:val="72FD3C55"/>
    <w:rsid w:val="73AF37E0"/>
    <w:rsid w:val="73DA6E72"/>
    <w:rsid w:val="73FDE146"/>
    <w:rsid w:val="74383DB9"/>
    <w:rsid w:val="747B5DF7"/>
    <w:rsid w:val="764E296E"/>
    <w:rsid w:val="77103FFE"/>
    <w:rsid w:val="77746AD5"/>
    <w:rsid w:val="78B83D27"/>
    <w:rsid w:val="78DE2DE8"/>
    <w:rsid w:val="78EBF650"/>
    <w:rsid w:val="794A3FDD"/>
    <w:rsid w:val="7A7E6C2A"/>
    <w:rsid w:val="7AAB5571"/>
    <w:rsid w:val="7B76D39C"/>
    <w:rsid w:val="7BF99CD9"/>
    <w:rsid w:val="7BFFA9F0"/>
    <w:rsid w:val="7CCD50E2"/>
    <w:rsid w:val="7DBDF94C"/>
    <w:rsid w:val="7DDFAED1"/>
    <w:rsid w:val="7DFFE0FF"/>
    <w:rsid w:val="7E5D2C14"/>
    <w:rsid w:val="7F3C41C6"/>
    <w:rsid w:val="7FB6DE45"/>
    <w:rsid w:val="7FBA617D"/>
    <w:rsid w:val="7FC01772"/>
    <w:rsid w:val="7FFEC4D3"/>
    <w:rsid w:val="7FFF84D8"/>
    <w:rsid w:val="7FFFB01F"/>
    <w:rsid w:val="97F6ED7F"/>
    <w:rsid w:val="9F3F5936"/>
    <w:rsid w:val="ACAFF942"/>
    <w:rsid w:val="AED8D7D0"/>
    <w:rsid w:val="B67F3389"/>
    <w:rsid w:val="B75EB0FB"/>
    <w:rsid w:val="BB3FEA84"/>
    <w:rsid w:val="BEBFBDEE"/>
    <w:rsid w:val="BEF93A88"/>
    <w:rsid w:val="BFFDF7A0"/>
    <w:rsid w:val="C9FD09E7"/>
    <w:rsid w:val="CEEE4456"/>
    <w:rsid w:val="D94B66CF"/>
    <w:rsid w:val="DC7F98A7"/>
    <w:rsid w:val="DF5F457F"/>
    <w:rsid w:val="DFB71E9C"/>
    <w:rsid w:val="E2DD65E1"/>
    <w:rsid w:val="E4F61650"/>
    <w:rsid w:val="E6DC7A60"/>
    <w:rsid w:val="E7FB7BC3"/>
    <w:rsid w:val="E7FF6920"/>
    <w:rsid w:val="E97F083D"/>
    <w:rsid w:val="EABE11B0"/>
    <w:rsid w:val="EE9BC251"/>
    <w:rsid w:val="EECC91CA"/>
    <w:rsid w:val="F4FA7849"/>
    <w:rsid w:val="F6ACE3BD"/>
    <w:rsid w:val="F7678C30"/>
    <w:rsid w:val="F7FF93C7"/>
    <w:rsid w:val="F83D7759"/>
    <w:rsid w:val="F9FF5536"/>
    <w:rsid w:val="FA77D2F1"/>
    <w:rsid w:val="FBBF303C"/>
    <w:rsid w:val="FBF89EA4"/>
    <w:rsid w:val="FD782A35"/>
    <w:rsid w:val="FD79103B"/>
    <w:rsid w:val="FDBF9A6C"/>
    <w:rsid w:val="FDC7DFC5"/>
    <w:rsid w:val="FDDABD29"/>
    <w:rsid w:val="FDF79C80"/>
    <w:rsid w:val="FDF7D131"/>
    <w:rsid w:val="FE9D6AF2"/>
    <w:rsid w:val="FEEDDB88"/>
    <w:rsid w:val="FF965EED"/>
    <w:rsid w:val="FFB9788F"/>
    <w:rsid w:val="FFFB44EF"/>
    <w:rsid w:val="FFFF3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nhideWhenUsed/>
    <w:qFormat/>
    <w:uiPriority w:val="0"/>
    <w:pPr>
      <w:keepNext/>
      <w:keepLines/>
      <w:spacing w:before="260" w:after="260" w:line="360" w:lineRule="auto"/>
      <w:outlineLvl w:val="1"/>
    </w:pPr>
    <w:rPr>
      <w:rFonts w:ascii="Cambria" w:hAnsi="Cambria" w:eastAsia="黑体" w:cs="Times New Roman"/>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kern w:val="0"/>
      <w:sz w:val="20"/>
    </w:rPr>
  </w:style>
  <w:style w:type="paragraph" w:styleId="4">
    <w:name w:val="annotation text"/>
    <w:basedOn w:val="1"/>
    <w:qFormat/>
    <w:uiPriority w:val="0"/>
    <w:pPr>
      <w:jc w:val="left"/>
    </w:pPr>
    <w:rPr>
      <w:kern w:val="0"/>
      <w:sz w:val="20"/>
    </w:rPr>
  </w:style>
  <w:style w:type="paragraph" w:styleId="5">
    <w:name w:val="Body Text"/>
    <w:basedOn w:val="1"/>
    <w:next w:val="6"/>
    <w:unhideWhenUsed/>
    <w:qFormat/>
    <w:uiPriority w:val="99"/>
    <w:pPr>
      <w:spacing w:after="120"/>
    </w:pPr>
    <w:rPr>
      <w:kern w:val="0"/>
      <w:sz w:val="20"/>
    </w:rPr>
  </w:style>
  <w:style w:type="paragraph" w:styleId="6">
    <w:name w:val="Title"/>
    <w:basedOn w:val="1"/>
    <w:next w:val="1"/>
    <w:qFormat/>
    <w:uiPriority w:val="10"/>
    <w:pPr>
      <w:spacing w:before="240" w:after="60"/>
      <w:jc w:val="center"/>
      <w:outlineLvl w:val="0"/>
    </w:pPr>
    <w:rPr>
      <w:rFonts w:ascii="Cambria" w:hAnsi="Cambria"/>
      <w:b/>
      <w:bCs/>
      <w:kern w:val="0"/>
      <w:sz w:val="32"/>
      <w:szCs w:val="32"/>
    </w:rPr>
  </w:style>
  <w:style w:type="paragraph" w:styleId="7">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Times New Roman" w:cs="Courier New"/>
      <w:kern w:val="2"/>
      <w:sz w:val="21"/>
      <w:szCs w:val="21"/>
      <w:lang w:val="en-US" w:eastAsia="zh-CN" w:bidi="ar"/>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annotation reference"/>
    <w:qFormat/>
    <w:uiPriority w:val="0"/>
    <w:rPr>
      <w:sz w:val="21"/>
      <w:szCs w:val="21"/>
    </w:rPr>
  </w:style>
  <w:style w:type="paragraph" w:customStyle="1" w:styleId="13">
    <w:name w:val="表格文字"/>
    <w:basedOn w:val="1"/>
    <w:qFormat/>
    <w:uiPriority w:val="0"/>
    <w:pPr>
      <w:spacing w:before="25" w:after="25"/>
      <w:jc w:val="left"/>
    </w:pPr>
    <w:rPr>
      <w:bCs/>
      <w:spacing w:val="10"/>
      <w:kern w:val="0"/>
      <w:sz w:val="24"/>
      <w:szCs w:val="20"/>
    </w:rPr>
  </w:style>
  <w:style w:type="paragraph" w:customStyle="1" w:styleId="14">
    <w:name w:val="Default"/>
    <w:qFormat/>
    <w:uiPriority w:val="0"/>
    <w:pPr>
      <w:widowControl w:val="0"/>
      <w:autoSpaceDE w:val="0"/>
      <w:autoSpaceDN w:val="0"/>
      <w:adjustRightInd w:val="0"/>
    </w:pPr>
    <w:rPr>
      <w:rFonts w:ascii="H Yb 2gj" w:hAnsi="Calibri" w:eastAsia="H Yb 2gj" w:cs="H Yb 2gj"/>
      <w:color w:val="000000"/>
      <w:sz w:val="24"/>
      <w:szCs w:val="24"/>
      <w:lang w:val="en-US" w:eastAsia="zh-CN" w:bidi="ar-SA"/>
    </w:rPr>
  </w:style>
  <w:style w:type="paragraph" w:customStyle="1" w:styleId="15">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2"/>
      <w:lang w:val="en-US" w:eastAsia="zh-CN" w:bidi="ar"/>
    </w:rPr>
  </w:style>
  <w:style w:type="paragraph" w:customStyle="1" w:styleId="16">
    <w:name w:val="列表段落1"/>
    <w:basedOn w:val="1"/>
    <w:qFormat/>
    <w:uiPriority w:val="34"/>
    <w:pPr>
      <w:ind w:firstLine="420" w:firstLineChars="200"/>
    </w:pPr>
  </w:style>
  <w:style w:type="paragraph" w:customStyle="1" w:styleId="17">
    <w:name w:val="列出段落1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10425</Words>
  <Characters>10620</Characters>
  <Lines>0</Lines>
  <Paragraphs>0</Paragraphs>
  <TotalTime>18</TotalTime>
  <ScaleCrop>false</ScaleCrop>
  <LinksUpToDate>false</LinksUpToDate>
  <CharactersWithSpaces>10974</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2023-02-21T08:48:00Z</dcterms:created>
  <dc:creator>测试01</dc:creator>
  <cp:lastModifiedBy>zhonglp</cp:lastModifiedBy>
  <cp:lastPrinted>2025-01-11T01:29:00Z</cp:lastPrinted>
  <dcterms:modified xsi:type="dcterms:W3CDTF">2025-01-10T17:33:53Z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2C7C6DCA04A9487A85EE611285BCB93C</vt:lpwstr>
  </property>
</Properties>
</file>