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94835">
      <w:pPr>
        <w:jc w:val="center"/>
        <w:rPr>
          <w:rFonts w:hint="eastAsia" w:ascii="黑体" w:hAnsi="黑体" w:eastAsia="宋体" w:cs="黑体"/>
          <w:b/>
          <w:sz w:val="32"/>
          <w:szCs w:val="32"/>
          <w:lang w:val="en-US" w:eastAsia="zh-CN"/>
        </w:rPr>
      </w:pPr>
      <w:r>
        <w:rPr>
          <w:rFonts w:hint="eastAsia" w:ascii="宋体" w:hAnsi="宋体" w:cs="宋体"/>
          <w:b/>
          <w:sz w:val="32"/>
          <w:szCs w:val="32"/>
          <w:lang w:val="en-US" w:eastAsia="zh-CN"/>
        </w:rPr>
        <w:t>深圳市规划国土发展研究中心速记服务</w:t>
      </w:r>
      <w:r>
        <w:rPr>
          <w:rFonts w:hint="eastAsia" w:ascii="宋体" w:hAnsi="宋体" w:eastAsia="宋体" w:cs="宋体"/>
          <w:b/>
          <w:sz w:val="32"/>
          <w:szCs w:val="32"/>
        </w:rPr>
        <w:t>采购</w:t>
      </w:r>
      <w:r>
        <w:rPr>
          <w:rFonts w:hint="eastAsia" w:ascii="宋体" w:hAnsi="宋体" w:cs="宋体"/>
          <w:b/>
          <w:sz w:val="32"/>
          <w:szCs w:val="32"/>
          <w:lang w:val="en-US" w:eastAsia="zh-CN"/>
        </w:rPr>
        <w:t>文件</w:t>
      </w:r>
    </w:p>
    <w:tbl>
      <w:tblPr>
        <w:tblStyle w:val="6"/>
        <w:tblW w:w="89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780"/>
        <w:gridCol w:w="1366"/>
        <w:gridCol w:w="2261"/>
      </w:tblGrid>
      <w:tr w14:paraId="2DAFB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560" w:type="dxa"/>
            <w:noWrap w:val="0"/>
            <w:vAlign w:val="center"/>
          </w:tcPr>
          <w:p w14:paraId="3CC09C49">
            <w:pPr>
              <w:spacing w:line="360" w:lineRule="exact"/>
              <w:jc w:val="center"/>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项目名称</w:t>
            </w:r>
          </w:p>
        </w:tc>
        <w:tc>
          <w:tcPr>
            <w:tcW w:w="7407" w:type="dxa"/>
            <w:gridSpan w:val="3"/>
            <w:noWrap w:val="0"/>
            <w:vAlign w:val="center"/>
          </w:tcPr>
          <w:p w14:paraId="24A8142B">
            <w:pPr>
              <w:spacing w:line="360" w:lineRule="exact"/>
              <w:jc w:val="center"/>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深圳市规划国土发展研究中心速记服务</w:t>
            </w:r>
          </w:p>
        </w:tc>
      </w:tr>
      <w:tr w14:paraId="5DA6B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560" w:type="dxa"/>
            <w:noWrap w:val="0"/>
            <w:vAlign w:val="center"/>
          </w:tcPr>
          <w:p w14:paraId="669E4589">
            <w:pPr>
              <w:spacing w:line="360" w:lineRule="exact"/>
              <w:jc w:val="center"/>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采购人名称</w:t>
            </w:r>
          </w:p>
        </w:tc>
        <w:tc>
          <w:tcPr>
            <w:tcW w:w="3780" w:type="dxa"/>
            <w:noWrap w:val="0"/>
            <w:vAlign w:val="center"/>
          </w:tcPr>
          <w:p w14:paraId="3A28868D">
            <w:pPr>
              <w:spacing w:line="320" w:lineRule="exact"/>
              <w:jc w:val="center"/>
              <w:rPr>
                <w:rFonts w:hint="default" w:ascii="仿宋" w:hAnsi="仿宋" w:eastAsia="仿宋" w:cs="仿宋"/>
                <w:sz w:val="24"/>
                <w:szCs w:val="24"/>
                <w:lang w:val="en-US" w:eastAsia="zh-CN"/>
              </w:rPr>
            </w:pPr>
            <w:r>
              <w:rPr>
                <w:rFonts w:hint="eastAsia" w:ascii="仿宋" w:hAnsi="仿宋" w:eastAsia="仿宋" w:cs="仿宋"/>
                <w:color w:val="000000"/>
                <w:sz w:val="24"/>
                <w:szCs w:val="24"/>
                <w:lang w:val="en-US" w:eastAsia="zh-CN"/>
              </w:rPr>
              <w:t>深圳市规划国土发展研究中心</w:t>
            </w:r>
          </w:p>
        </w:tc>
        <w:tc>
          <w:tcPr>
            <w:tcW w:w="1366" w:type="dxa"/>
            <w:noWrap w:val="0"/>
            <w:vAlign w:val="center"/>
          </w:tcPr>
          <w:p w14:paraId="151DE5BE">
            <w:pPr>
              <w:spacing w:line="360" w:lineRule="exact"/>
              <w:jc w:val="left"/>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采购方式</w:t>
            </w:r>
          </w:p>
        </w:tc>
        <w:tc>
          <w:tcPr>
            <w:tcW w:w="2261" w:type="dxa"/>
            <w:noWrap w:val="0"/>
            <w:vAlign w:val="center"/>
          </w:tcPr>
          <w:p w14:paraId="7D360A40">
            <w:pPr>
              <w:tabs>
                <w:tab w:val="center" w:pos="1022"/>
              </w:tabs>
              <w:spacing w:line="36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询价</w:t>
            </w:r>
            <w:r>
              <w:rPr>
                <w:rFonts w:hint="eastAsia" w:ascii="仿宋" w:hAnsi="仿宋" w:eastAsia="仿宋" w:cs="仿宋"/>
                <w:sz w:val="24"/>
                <w:szCs w:val="24"/>
                <w:lang w:val="en-US" w:eastAsia="zh-CN"/>
              </w:rPr>
              <w:tab/>
            </w:r>
          </w:p>
          <w:p w14:paraId="1E21D823">
            <w:pPr>
              <w:pStyle w:val="2"/>
              <w:ind w:left="0" w:leftChars="0" w:firstLine="0" w:firstLineChars="0"/>
              <w:rPr>
                <w:rFonts w:hint="default"/>
                <w:lang w:val="en-US" w:eastAsia="zh-CN"/>
              </w:rPr>
            </w:pPr>
            <w:r>
              <w:rPr>
                <w:rFonts w:hint="eastAsia" w:ascii="仿宋" w:hAnsi="仿宋" w:eastAsia="仿宋" w:cs="Times New Roman"/>
                <w:bCs/>
                <w:kern w:val="0"/>
                <w:sz w:val="24"/>
                <w:szCs w:val="24"/>
              </w:rPr>
              <w:t>最低价中标法评标定标</w:t>
            </w:r>
          </w:p>
        </w:tc>
      </w:tr>
      <w:tr w14:paraId="479C9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60" w:type="dxa"/>
            <w:noWrap w:val="0"/>
            <w:vAlign w:val="center"/>
          </w:tcPr>
          <w:p w14:paraId="40D93C88">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计划立项批文号</w:t>
            </w:r>
          </w:p>
        </w:tc>
        <w:tc>
          <w:tcPr>
            <w:tcW w:w="3780" w:type="dxa"/>
            <w:noWrap w:val="0"/>
            <w:vAlign w:val="center"/>
          </w:tcPr>
          <w:p w14:paraId="23237194">
            <w:pPr>
              <w:spacing w:line="360" w:lineRule="exact"/>
              <w:jc w:val="left"/>
              <w:rPr>
                <w:rFonts w:hint="eastAsia" w:ascii="仿宋" w:hAnsi="仿宋" w:eastAsia="仿宋" w:cs="仿宋"/>
                <w:sz w:val="24"/>
                <w:szCs w:val="24"/>
              </w:rPr>
            </w:pPr>
          </w:p>
        </w:tc>
        <w:tc>
          <w:tcPr>
            <w:tcW w:w="1366" w:type="dxa"/>
            <w:noWrap w:val="0"/>
            <w:vAlign w:val="center"/>
          </w:tcPr>
          <w:p w14:paraId="262298E2">
            <w:pPr>
              <w:spacing w:line="360" w:lineRule="exact"/>
              <w:jc w:val="left"/>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资金来源</w:t>
            </w:r>
          </w:p>
        </w:tc>
        <w:tc>
          <w:tcPr>
            <w:tcW w:w="2261" w:type="dxa"/>
            <w:noWrap w:val="0"/>
            <w:vAlign w:val="center"/>
          </w:tcPr>
          <w:p w14:paraId="416447F3">
            <w:pPr>
              <w:spacing w:line="360" w:lineRule="exact"/>
              <w:jc w:val="left"/>
              <w:rPr>
                <w:rFonts w:hint="eastAsia" w:ascii="仿宋" w:hAnsi="仿宋" w:eastAsia="仿宋" w:cs="仿宋"/>
                <w:sz w:val="24"/>
                <w:szCs w:val="24"/>
              </w:rPr>
            </w:pPr>
            <w:r>
              <w:rPr>
                <w:rFonts w:hint="eastAsia" w:ascii="仿宋" w:hAnsi="仿宋" w:eastAsia="仿宋" w:cs="仿宋"/>
                <w:color w:val="000000"/>
                <w:sz w:val="24"/>
                <w:szCs w:val="24"/>
                <w:lang w:val="en-US" w:eastAsia="zh-CN"/>
              </w:rPr>
              <w:t>自有资金</w:t>
            </w:r>
          </w:p>
        </w:tc>
      </w:tr>
      <w:tr w14:paraId="586BC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560" w:type="dxa"/>
            <w:noWrap w:val="0"/>
            <w:vAlign w:val="center"/>
          </w:tcPr>
          <w:p w14:paraId="37E46005">
            <w:pPr>
              <w:spacing w:line="360" w:lineRule="exact"/>
              <w:jc w:val="center"/>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预算限额（元）</w:t>
            </w:r>
          </w:p>
        </w:tc>
        <w:tc>
          <w:tcPr>
            <w:tcW w:w="7407" w:type="dxa"/>
            <w:gridSpan w:val="3"/>
            <w:noWrap w:val="0"/>
            <w:vAlign w:val="center"/>
          </w:tcPr>
          <w:p w14:paraId="705371F8">
            <w:pPr>
              <w:spacing w:line="360" w:lineRule="exact"/>
              <w:jc w:val="both"/>
              <w:rPr>
                <w:rFonts w:hint="default" w:ascii="仿宋" w:hAnsi="仿宋" w:eastAsia="仿宋" w:cs="仿宋"/>
                <w:sz w:val="24"/>
                <w:szCs w:val="24"/>
                <w:lang w:val="en-US" w:eastAsia="zh-CN"/>
              </w:rPr>
            </w:pPr>
            <w:r>
              <w:rPr>
                <w:rFonts w:hint="eastAsia" w:ascii="仿宋" w:hAnsi="仿宋" w:eastAsia="仿宋" w:cs="Times New Roman"/>
                <w:bCs/>
                <w:kern w:val="0"/>
                <w:sz w:val="24"/>
                <w:szCs w:val="24"/>
                <w:lang w:val="en-US" w:eastAsia="zh-CN"/>
              </w:rPr>
              <w:t>每</w:t>
            </w:r>
            <w:r>
              <w:rPr>
                <w:rFonts w:hint="eastAsia" w:ascii="仿宋" w:hAnsi="仿宋" w:eastAsia="仿宋" w:cs="Times New Roman"/>
                <w:bCs/>
                <w:kern w:val="0"/>
                <w:sz w:val="24"/>
                <w:szCs w:val="24"/>
              </w:rPr>
              <w:t>年度总金额人民币</w:t>
            </w:r>
            <w:r>
              <w:rPr>
                <w:rFonts w:hint="eastAsia" w:ascii="仿宋" w:hAnsi="仿宋" w:eastAsia="仿宋" w:cs="Times New Roman"/>
                <w:bCs/>
                <w:kern w:val="0"/>
                <w:sz w:val="24"/>
                <w:szCs w:val="24"/>
                <w:lang w:val="en-US" w:eastAsia="zh-CN"/>
              </w:rPr>
              <w:t>陆</w:t>
            </w:r>
            <w:r>
              <w:rPr>
                <w:rFonts w:hint="eastAsia" w:ascii="仿宋" w:hAnsi="仿宋" w:eastAsia="仿宋" w:cs="Times New Roman"/>
                <w:bCs/>
                <w:kern w:val="0"/>
                <w:sz w:val="24"/>
                <w:szCs w:val="24"/>
              </w:rPr>
              <w:t>万元整（</w:t>
            </w:r>
            <w:r>
              <w:rPr>
                <w:rFonts w:ascii="Calibri" w:hAnsi="Calibri" w:eastAsia="仿宋" w:cs="Calibri"/>
                <w:bCs/>
                <w:kern w:val="0"/>
                <w:sz w:val="24"/>
                <w:szCs w:val="24"/>
              </w:rPr>
              <w:t>¥</w:t>
            </w:r>
            <w:r>
              <w:rPr>
                <w:rFonts w:hint="eastAsia" w:ascii="仿宋" w:hAnsi="仿宋" w:eastAsia="仿宋" w:cs="Times New Roman"/>
                <w:bCs/>
                <w:kern w:val="0"/>
                <w:sz w:val="24"/>
                <w:szCs w:val="24"/>
                <w:lang w:val="en-US" w:eastAsia="zh-CN"/>
              </w:rPr>
              <w:t>60</w:t>
            </w:r>
            <w:r>
              <w:rPr>
                <w:rFonts w:hint="eastAsia" w:ascii="仿宋" w:hAnsi="仿宋" w:eastAsia="仿宋" w:cs="Times New Roman"/>
                <w:bCs/>
                <w:kern w:val="0"/>
                <w:sz w:val="24"/>
                <w:szCs w:val="24"/>
              </w:rPr>
              <w:t>000.00）。</w:t>
            </w:r>
          </w:p>
        </w:tc>
      </w:tr>
      <w:tr w14:paraId="54523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560" w:type="dxa"/>
            <w:noWrap w:val="0"/>
            <w:vAlign w:val="center"/>
          </w:tcPr>
          <w:p w14:paraId="6DC86445">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项目背景</w:t>
            </w:r>
          </w:p>
        </w:tc>
        <w:tc>
          <w:tcPr>
            <w:tcW w:w="7407" w:type="dxa"/>
            <w:gridSpan w:val="3"/>
            <w:noWrap w:val="0"/>
            <w:vAlign w:val="center"/>
          </w:tcPr>
          <w:p w14:paraId="3FD30EDD">
            <w:pPr>
              <w:spacing w:line="360" w:lineRule="exact"/>
              <w:ind w:firstLine="480" w:firstLineChars="200"/>
              <w:jc w:val="left"/>
              <w:rPr>
                <w:rFonts w:hint="default" w:ascii="仿宋" w:hAnsi="仿宋" w:eastAsia="仿宋" w:cs="仿宋"/>
                <w:sz w:val="24"/>
                <w:szCs w:val="24"/>
                <w:lang w:val="en-US" w:eastAsia="zh-CN"/>
              </w:rPr>
            </w:pPr>
            <w:r>
              <w:rPr>
                <w:rFonts w:hint="eastAsia" w:ascii="仿宋" w:hAnsi="仿宋" w:eastAsia="仿宋" w:cs="Times New Roman"/>
                <w:bCs/>
                <w:kern w:val="0"/>
                <w:sz w:val="24"/>
                <w:szCs w:val="24"/>
              </w:rPr>
              <w:t>为了</w:t>
            </w:r>
            <w:r>
              <w:rPr>
                <w:rFonts w:hint="eastAsia" w:ascii="仿宋" w:hAnsi="仿宋" w:eastAsia="仿宋" w:cs="Times New Roman"/>
                <w:bCs/>
                <w:kern w:val="0"/>
                <w:sz w:val="24"/>
                <w:szCs w:val="24"/>
                <w:lang w:val="en-US" w:eastAsia="zh-CN"/>
              </w:rPr>
              <w:t>保证中心及各业务所在重要会议及活动时</w:t>
            </w:r>
            <w:r>
              <w:rPr>
                <w:rFonts w:hint="eastAsia" w:ascii="仿宋" w:hAnsi="仿宋" w:eastAsia="仿宋" w:cs="Times New Roman"/>
                <w:bCs/>
                <w:kern w:val="0"/>
                <w:sz w:val="24"/>
                <w:szCs w:val="24"/>
              </w:rPr>
              <w:t>准确</w:t>
            </w:r>
            <w:r>
              <w:rPr>
                <w:rFonts w:hint="eastAsia" w:ascii="仿宋" w:hAnsi="仿宋" w:eastAsia="仿宋" w:cs="Times New Roman"/>
                <w:bCs/>
                <w:kern w:val="0"/>
                <w:sz w:val="24"/>
                <w:szCs w:val="24"/>
                <w:lang w:val="en-US" w:eastAsia="zh-CN"/>
              </w:rPr>
              <w:t>地</w:t>
            </w:r>
            <w:r>
              <w:rPr>
                <w:rFonts w:hint="eastAsia" w:ascii="仿宋" w:hAnsi="仿宋" w:eastAsia="仿宋" w:cs="Times New Roman"/>
                <w:bCs/>
                <w:kern w:val="0"/>
                <w:sz w:val="24"/>
                <w:szCs w:val="24"/>
              </w:rPr>
              <w:t>记录会议和活动信息，保证内容的完整性和及时性，拟委托一家专业速记公司完成</w:t>
            </w:r>
            <w:r>
              <w:rPr>
                <w:rFonts w:hint="eastAsia" w:ascii="仿宋" w:hAnsi="仿宋" w:eastAsia="仿宋" w:cs="Times New Roman"/>
                <w:bCs/>
                <w:kern w:val="0"/>
                <w:sz w:val="24"/>
                <w:szCs w:val="24"/>
                <w:lang w:val="en-US" w:eastAsia="zh-CN"/>
              </w:rPr>
              <w:t>相关</w:t>
            </w:r>
            <w:r>
              <w:rPr>
                <w:rFonts w:hint="eastAsia" w:ascii="仿宋" w:hAnsi="仿宋" w:eastAsia="仿宋" w:cs="Times New Roman"/>
                <w:bCs/>
                <w:kern w:val="0"/>
                <w:sz w:val="24"/>
                <w:szCs w:val="24"/>
              </w:rPr>
              <w:t>速记服务项目。依据中心采购管理制度，拟通过</w:t>
            </w:r>
            <w:r>
              <w:rPr>
                <w:rFonts w:hint="eastAsia" w:ascii="仿宋" w:hAnsi="仿宋" w:eastAsia="仿宋" w:cs="Times New Roman"/>
                <w:bCs/>
                <w:kern w:val="0"/>
                <w:sz w:val="24"/>
                <w:szCs w:val="24"/>
                <w:lang w:val="en-US" w:eastAsia="zh-CN"/>
              </w:rPr>
              <w:t>询价</w:t>
            </w:r>
            <w:r>
              <w:rPr>
                <w:rFonts w:hint="eastAsia" w:ascii="仿宋" w:hAnsi="仿宋" w:eastAsia="仿宋" w:cs="Times New Roman"/>
                <w:bCs/>
                <w:kern w:val="0"/>
                <w:sz w:val="24"/>
                <w:szCs w:val="24"/>
              </w:rPr>
              <w:t>的采购方式采购速记服务项目，并以最低价中标法评标定标。</w:t>
            </w:r>
          </w:p>
        </w:tc>
      </w:tr>
      <w:tr w14:paraId="4283F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560" w:type="dxa"/>
            <w:noWrap w:val="0"/>
            <w:vAlign w:val="center"/>
          </w:tcPr>
          <w:p w14:paraId="0C9D2F47">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项目前期设计、规划论证单位</w:t>
            </w:r>
          </w:p>
        </w:tc>
        <w:tc>
          <w:tcPr>
            <w:tcW w:w="7407" w:type="dxa"/>
            <w:gridSpan w:val="3"/>
            <w:noWrap w:val="0"/>
            <w:vAlign w:val="center"/>
          </w:tcPr>
          <w:p w14:paraId="748FC4DE">
            <w:pPr>
              <w:spacing w:line="360" w:lineRule="exact"/>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无</w:t>
            </w:r>
          </w:p>
        </w:tc>
      </w:tr>
      <w:tr w14:paraId="1B0DC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noWrap w:val="0"/>
            <w:vAlign w:val="center"/>
          </w:tcPr>
          <w:p w14:paraId="0080C07C">
            <w:pPr>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rPr>
              <w:t>投标人资质要求</w:t>
            </w:r>
          </w:p>
        </w:tc>
        <w:tc>
          <w:tcPr>
            <w:tcW w:w="7407" w:type="dxa"/>
            <w:gridSpan w:val="3"/>
            <w:noWrap w:val="0"/>
            <w:vAlign w:val="top"/>
          </w:tcPr>
          <w:p w14:paraId="499B258D">
            <w:pPr>
              <w:spacing w:line="360" w:lineRule="exact"/>
              <w:jc w:val="left"/>
              <w:rPr>
                <w:rFonts w:hint="eastAsia" w:ascii="仿宋" w:hAnsi="仿宋" w:eastAsia="仿宋" w:cs="仿宋"/>
                <w:b/>
                <w:kern w:val="0"/>
                <w:sz w:val="24"/>
                <w:szCs w:val="24"/>
              </w:rPr>
            </w:pPr>
            <w:r>
              <w:rPr>
                <w:rFonts w:hint="eastAsia" w:ascii="仿宋" w:hAnsi="仿宋" w:eastAsia="仿宋" w:cs="仿宋"/>
                <w:b/>
                <w:kern w:val="0"/>
                <w:sz w:val="24"/>
                <w:szCs w:val="24"/>
              </w:rPr>
              <w:t>注意：采购人根据项目所需提供明确、具体的资质要求，资质要求的内容必须与项目等级相匹配且符合相关法律规定。（设置的投标人资格要求必须提交有法律法规依据的证明文件，且不具备倾向性）</w:t>
            </w:r>
          </w:p>
          <w:p w14:paraId="267C6DB0">
            <w:pPr>
              <w:numPr>
                <w:ilvl w:val="0"/>
                <w:numId w:val="1"/>
              </w:numPr>
              <w:spacing w:line="36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具有独立法人资格；</w:t>
            </w:r>
            <w:r>
              <w:rPr>
                <w:rFonts w:hint="eastAsia" w:ascii="仿宋" w:hAnsi="仿宋" w:eastAsia="仿宋" w:cs="仿宋"/>
                <w:kern w:val="0"/>
                <w:sz w:val="24"/>
                <w:szCs w:val="24"/>
                <w:lang w:val="en-US" w:eastAsia="zh-CN"/>
              </w:rPr>
              <w:t>经营范围需包括速记服务。</w:t>
            </w:r>
          </w:p>
          <w:p w14:paraId="1F5FEA37">
            <w:pPr>
              <w:numPr>
                <w:ilvl w:val="0"/>
                <w:numId w:val="0"/>
              </w:numPr>
              <w:spacing w:line="36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2）本项目不接受联合体投标，不允许分包，（不接受投标人选用进口产品参与投标）。</w:t>
            </w:r>
          </w:p>
          <w:p w14:paraId="7CE50EFA">
            <w:pPr>
              <w:spacing w:line="36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3）</w:t>
            </w:r>
            <w:r>
              <w:rPr>
                <w:rFonts w:hint="eastAsia" w:ascii="仿宋" w:hAnsi="仿宋" w:eastAsia="仿宋" w:cs="仿宋"/>
                <w:color w:val="000000"/>
                <w:sz w:val="24"/>
                <w:szCs w:val="24"/>
                <w:lang w:eastAsia="zh-CN"/>
              </w:rPr>
              <w:t>投标人须提供《政府采购投标及履约承诺函》、《政府采购违法行为风险知悉确认书》（见附件），加盖投标人公章。</w:t>
            </w:r>
          </w:p>
          <w:p w14:paraId="267E9BED">
            <w:pPr>
              <w:spacing w:line="360" w:lineRule="exact"/>
              <w:jc w:val="left"/>
              <w:rPr>
                <w:rFonts w:hint="eastAsia" w:ascii="仿宋" w:hAnsi="仿宋" w:eastAsia="仿宋" w:cs="仿宋"/>
                <w:b/>
                <w:kern w:val="0"/>
                <w:sz w:val="24"/>
                <w:szCs w:val="24"/>
              </w:rPr>
            </w:pPr>
          </w:p>
        </w:tc>
      </w:tr>
      <w:tr w14:paraId="4EAC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1560" w:type="dxa"/>
            <w:noWrap w:val="0"/>
            <w:vAlign w:val="center"/>
          </w:tcPr>
          <w:p w14:paraId="7404F59C">
            <w:pPr>
              <w:spacing w:line="360" w:lineRule="exact"/>
              <w:jc w:val="center"/>
              <w:rPr>
                <w:rFonts w:hint="eastAsia" w:ascii="仿宋" w:hAnsi="仿宋" w:eastAsia="仿宋" w:cs="仿宋"/>
                <w:kern w:val="0"/>
                <w:sz w:val="24"/>
                <w:szCs w:val="24"/>
              </w:rPr>
            </w:pPr>
            <w:r>
              <w:rPr>
                <w:rFonts w:hint="eastAsia" w:ascii="仿宋" w:hAnsi="仿宋" w:eastAsia="仿宋" w:cs="仿宋"/>
                <w:bCs/>
                <w:sz w:val="24"/>
                <w:szCs w:val="24"/>
              </w:rPr>
              <w:t>需求内容</w:t>
            </w:r>
          </w:p>
        </w:tc>
        <w:tc>
          <w:tcPr>
            <w:tcW w:w="7407" w:type="dxa"/>
            <w:gridSpan w:val="3"/>
            <w:noWrap w:val="0"/>
            <w:vAlign w:val="top"/>
          </w:tcPr>
          <w:p w14:paraId="618091EC">
            <w:pPr>
              <w:spacing w:line="36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*1、报价要求（明确分项报价要求）</w:t>
            </w:r>
          </w:p>
          <w:p w14:paraId="2809C3A0">
            <w:pPr>
              <w:spacing w:line="360" w:lineRule="exact"/>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投标人需按附件3表格要求单项报价。且投标总价不得超过预算金额，一旦超出，将按废标处理。</w:t>
            </w:r>
          </w:p>
          <w:p w14:paraId="6B957AF2">
            <w:pPr>
              <w:spacing w:line="36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*2、付款方式</w:t>
            </w:r>
          </w:p>
          <w:p w14:paraId="191DEBC8">
            <w:pPr>
              <w:spacing w:line="360" w:lineRule="exact"/>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按月据实结算 </w:t>
            </w:r>
          </w:p>
          <w:p w14:paraId="49862B47">
            <w:pPr>
              <w:spacing w:line="36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*3、履约保证金</w:t>
            </w:r>
            <w:r>
              <w:rPr>
                <w:rFonts w:hint="eastAsia" w:ascii="仿宋" w:hAnsi="仿宋" w:eastAsia="仿宋" w:cs="仿宋"/>
                <w:kern w:val="0"/>
                <w:sz w:val="24"/>
                <w:szCs w:val="24"/>
                <w:lang w:val="en-US" w:eastAsia="zh-CN"/>
              </w:rPr>
              <w:t xml:space="preserve">  </w:t>
            </w:r>
          </w:p>
          <w:p w14:paraId="44E714BD">
            <w:pPr>
              <w:spacing w:line="360" w:lineRule="exact"/>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无</w:t>
            </w:r>
          </w:p>
          <w:p w14:paraId="43166C37">
            <w:pPr>
              <w:spacing w:line="360" w:lineRule="exact"/>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*4、违约责任</w:t>
            </w:r>
            <w:r>
              <w:rPr>
                <w:rFonts w:hint="eastAsia" w:ascii="仿宋" w:hAnsi="仿宋" w:eastAsia="仿宋" w:cs="仿宋"/>
                <w:kern w:val="0"/>
                <w:sz w:val="24"/>
                <w:szCs w:val="24"/>
                <w:lang w:val="en-US" w:eastAsia="zh-CN"/>
              </w:rPr>
              <w:t xml:space="preserve">   </w:t>
            </w:r>
          </w:p>
          <w:p w14:paraId="0A4BBB35">
            <w:pPr>
              <w:spacing w:line="360" w:lineRule="exact"/>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以具体合同约定为准</w:t>
            </w:r>
          </w:p>
          <w:p w14:paraId="0A20E15C">
            <w:pPr>
              <w:spacing w:line="36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*5、服务质量监督和项目验收要求</w:t>
            </w:r>
          </w:p>
          <w:p w14:paraId="768D4237">
            <w:pPr>
              <w:spacing w:line="360" w:lineRule="exact"/>
              <w:jc w:val="left"/>
              <w:rPr>
                <w:rFonts w:hint="default" w:eastAsia="宋体"/>
                <w:lang w:val="en-US" w:eastAsia="zh-CN"/>
              </w:rPr>
            </w:pPr>
            <w:r>
              <w:rPr>
                <w:rFonts w:hint="eastAsia" w:ascii="仿宋" w:hAnsi="仿宋" w:eastAsia="仿宋" w:cs="仿宋"/>
                <w:kern w:val="0"/>
                <w:sz w:val="24"/>
                <w:szCs w:val="24"/>
                <w:lang w:val="en-US" w:eastAsia="zh-CN"/>
              </w:rPr>
              <w:t>以国家相关行业技术规范和要求为准。</w:t>
            </w:r>
          </w:p>
        </w:tc>
      </w:tr>
      <w:tr w14:paraId="08E69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1560" w:type="dxa"/>
            <w:noWrap w:val="0"/>
            <w:vAlign w:val="center"/>
          </w:tcPr>
          <w:p w14:paraId="2F4F6FCF">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具体技术</w:t>
            </w:r>
          </w:p>
          <w:p w14:paraId="69292680">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要求</w:t>
            </w:r>
          </w:p>
        </w:tc>
        <w:tc>
          <w:tcPr>
            <w:tcW w:w="7407" w:type="dxa"/>
            <w:gridSpan w:val="3"/>
            <w:noWrap w:val="0"/>
            <w:vAlign w:val="top"/>
          </w:tcPr>
          <w:p w14:paraId="0567B2E1">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57" w:rightChars="-27"/>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1.应深圳市规划国土发展研究中心要求提供相应数量的服务小组，并按时到达服务现场。</w:t>
            </w:r>
          </w:p>
          <w:p w14:paraId="2F69B9BF">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根据速记对象的讲话实时进行速记（中文或者外文），并保证速记质量，避免出现误记、错记和漏记</w:t>
            </w:r>
            <w:r>
              <w:rPr>
                <w:rFonts w:hint="eastAsia" w:ascii="仿宋" w:hAnsi="仿宋" w:eastAsia="仿宋" w:cs="仿宋"/>
                <w:color w:val="000000" w:themeColor="text1"/>
                <w:sz w:val="24"/>
                <w:szCs w:val="24"/>
                <w:lang w:eastAsia="zh-CN"/>
                <w14:textFill>
                  <w14:solidFill>
                    <w14:schemeClr w14:val="tx1"/>
                  </w14:solidFill>
                </w14:textFill>
              </w:rPr>
              <w:t xml:space="preserve">。 </w:t>
            </w:r>
          </w:p>
          <w:p w14:paraId="2D52B3B7">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lang w:eastAsia="zh-CN"/>
                <w14:textFill>
                  <w14:solidFill>
                    <w14:schemeClr w14:val="tx1"/>
                  </w14:solidFill>
                </w14:textFill>
              </w:rPr>
              <w:t>.在规定的时限内完成</w:t>
            </w:r>
            <w:r>
              <w:rPr>
                <w:rFonts w:hint="eastAsia" w:ascii="仿宋" w:hAnsi="仿宋" w:eastAsia="仿宋" w:cs="仿宋"/>
                <w:color w:val="000000" w:themeColor="text1"/>
                <w:sz w:val="24"/>
                <w:szCs w:val="24"/>
                <w:lang w:val="en-US" w:eastAsia="zh-CN"/>
                <w14:textFill>
                  <w14:solidFill>
                    <w14:schemeClr w14:val="tx1"/>
                  </w14:solidFill>
                </w14:textFill>
              </w:rPr>
              <w:t>相关速记</w:t>
            </w:r>
            <w:r>
              <w:rPr>
                <w:rFonts w:hint="eastAsia" w:ascii="仿宋" w:hAnsi="仿宋" w:eastAsia="仿宋" w:cs="仿宋"/>
                <w:color w:val="000000" w:themeColor="text1"/>
                <w:sz w:val="24"/>
                <w:szCs w:val="24"/>
                <w:lang w:eastAsia="zh-CN"/>
                <w14:textFill>
                  <w14:solidFill>
                    <w14:schemeClr w14:val="tx1"/>
                  </w14:solidFill>
                </w14:textFill>
              </w:rPr>
              <w:t>服务。</w:t>
            </w:r>
          </w:p>
          <w:p w14:paraId="56211146">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sz w:val="24"/>
                <w:szCs w:val="24"/>
              </w:rPr>
            </w:pPr>
            <w:r>
              <w:rPr>
                <w:rFonts w:hint="eastAsia" w:ascii="仿宋" w:hAnsi="仿宋" w:eastAsia="仿宋" w:cs="仿宋"/>
                <w:color w:val="000000" w:themeColor="text1"/>
                <w:sz w:val="24"/>
                <w:szCs w:val="24"/>
                <w:lang w:eastAsia="zh-CN"/>
                <w14:textFill>
                  <w14:solidFill>
                    <w14:schemeClr w14:val="tx1"/>
                  </w14:solidFill>
                </w14:textFill>
              </w:rPr>
              <w:t>4.</w:t>
            </w:r>
            <w:r>
              <w:rPr>
                <w:rFonts w:hint="eastAsia" w:ascii="仿宋" w:hAnsi="仿宋" w:eastAsia="仿宋" w:cs="仿宋"/>
                <w:color w:val="000000" w:themeColor="text1"/>
                <w:sz w:val="24"/>
                <w:szCs w:val="24"/>
                <w:lang w:val="en-US" w:eastAsia="zh-CN"/>
                <w14:textFill>
                  <w14:solidFill>
                    <w14:schemeClr w14:val="tx1"/>
                  </w14:solidFill>
                </w14:textFill>
              </w:rPr>
              <w:t>速记服务结束后，在对录入资料进行检查整理后，将文本资料以电子文件方式交付我中心</w:t>
            </w:r>
            <w:r>
              <w:rPr>
                <w:rFonts w:hint="eastAsia" w:ascii="仿宋" w:hAnsi="仿宋" w:eastAsia="仿宋" w:cs="仿宋"/>
                <w:color w:val="000000" w:themeColor="text1"/>
                <w:sz w:val="24"/>
                <w:szCs w:val="24"/>
                <w:lang w:eastAsia="zh-CN"/>
                <w14:textFill>
                  <w14:solidFill>
                    <w14:schemeClr w14:val="tx1"/>
                  </w14:solidFill>
                </w14:textFill>
              </w:rPr>
              <w:t>。</w:t>
            </w:r>
          </w:p>
        </w:tc>
      </w:tr>
      <w:tr w14:paraId="6D3C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5" w:hRule="atLeast"/>
        </w:trPr>
        <w:tc>
          <w:tcPr>
            <w:tcW w:w="1560" w:type="dxa"/>
            <w:noWrap w:val="0"/>
            <w:vAlign w:val="center"/>
          </w:tcPr>
          <w:p w14:paraId="5CC49A11">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商务需求</w:t>
            </w:r>
          </w:p>
        </w:tc>
        <w:tc>
          <w:tcPr>
            <w:tcW w:w="7407" w:type="dxa"/>
            <w:gridSpan w:val="3"/>
            <w:noWrap w:val="0"/>
            <w:vAlign w:val="top"/>
          </w:tcPr>
          <w:p w14:paraId="657FB0E8">
            <w:pPr>
              <w:keepNext w:val="0"/>
              <w:keepLines w:val="0"/>
              <w:pageBreakBefore w:val="0"/>
              <w:widowControl w:val="0"/>
              <w:numPr>
                <w:ilvl w:val="0"/>
                <w:numId w:val="2"/>
              </w:numPr>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服务期限：本项目服务期限为</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年，</w:t>
            </w:r>
            <w:r>
              <w:rPr>
                <w:rFonts w:hint="eastAsia" w:ascii="仿宋" w:hAnsi="仿宋" w:eastAsia="仿宋" w:cs="仿宋"/>
                <w:color w:val="000000"/>
                <w:sz w:val="24"/>
                <w:szCs w:val="24"/>
                <w:lang w:val="en-US" w:eastAsia="zh-CN"/>
              </w:rPr>
              <w:t>合同一年一签，年度服务评价合格后方可续签合同</w:t>
            </w:r>
            <w:r>
              <w:rPr>
                <w:rFonts w:hint="eastAsia" w:ascii="仿宋" w:hAnsi="仿宋" w:eastAsia="仿宋" w:cs="仿宋"/>
                <w:color w:val="000000"/>
                <w:sz w:val="24"/>
                <w:szCs w:val="24"/>
              </w:rPr>
              <w:t>。</w:t>
            </w:r>
          </w:p>
          <w:p w14:paraId="11646AF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rPr>
              <w:t>2.付款条件：</w:t>
            </w:r>
            <w:r>
              <w:rPr>
                <w:rFonts w:hint="eastAsia" w:ascii="仿宋" w:hAnsi="仿宋" w:eastAsia="仿宋" w:cs="仿宋"/>
                <w:color w:val="000000"/>
                <w:sz w:val="24"/>
                <w:szCs w:val="24"/>
                <w:lang w:val="en-US" w:eastAsia="zh-CN"/>
              </w:rPr>
              <w:t>按月据实结算</w:t>
            </w:r>
          </w:p>
          <w:p w14:paraId="2E406F0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.本项目服务费采用包干制，应包括服务成本、法定税费和企业的利润。由投标</w:t>
            </w:r>
            <w:r>
              <w:rPr>
                <w:rFonts w:hint="eastAsia" w:ascii="仿宋" w:hAnsi="仿宋" w:eastAsia="仿宋" w:cs="仿宋"/>
                <w:color w:val="000000"/>
                <w:sz w:val="24"/>
                <w:szCs w:val="24"/>
                <w:lang w:val="en-US" w:eastAsia="zh-CN"/>
              </w:rPr>
              <w:t>人</w:t>
            </w:r>
            <w:r>
              <w:rPr>
                <w:rFonts w:hint="eastAsia" w:ascii="仿宋" w:hAnsi="仿宋" w:eastAsia="仿宋" w:cs="仿宋"/>
                <w:color w:val="000000"/>
                <w:sz w:val="24"/>
                <w:szCs w:val="24"/>
              </w:rPr>
              <w:t>根据采购文件所提供的资料自行测算投标报价；一经中标，报价总价作为中标</w:t>
            </w:r>
            <w:r>
              <w:rPr>
                <w:rFonts w:hint="eastAsia" w:ascii="仿宋" w:hAnsi="仿宋" w:eastAsia="仿宋" w:cs="仿宋"/>
                <w:color w:val="000000"/>
                <w:sz w:val="24"/>
                <w:szCs w:val="24"/>
                <w:lang w:val="en-US" w:eastAsia="zh-CN"/>
              </w:rPr>
              <w:t>方</w:t>
            </w:r>
            <w:r>
              <w:rPr>
                <w:rFonts w:hint="eastAsia" w:ascii="仿宋" w:hAnsi="仿宋" w:eastAsia="仿宋" w:cs="仿宋"/>
                <w:color w:val="000000"/>
                <w:sz w:val="24"/>
                <w:szCs w:val="24"/>
              </w:rPr>
              <w:t>与采购人签定的合同金额，合同期限内不做调整。</w:t>
            </w:r>
          </w:p>
          <w:p w14:paraId="01D2436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.投标</w:t>
            </w:r>
            <w:r>
              <w:rPr>
                <w:rFonts w:hint="eastAsia" w:ascii="仿宋" w:hAnsi="仿宋" w:eastAsia="仿宋" w:cs="仿宋"/>
                <w:color w:val="000000"/>
                <w:sz w:val="24"/>
                <w:szCs w:val="24"/>
                <w:lang w:val="en-US" w:eastAsia="zh-CN"/>
              </w:rPr>
              <w:t>人</w:t>
            </w:r>
            <w:r>
              <w:rPr>
                <w:rFonts w:hint="eastAsia" w:ascii="仿宋" w:hAnsi="仿宋" w:eastAsia="仿宋" w:cs="仿宋"/>
                <w:color w:val="000000"/>
                <w:sz w:val="24"/>
                <w:szCs w:val="24"/>
              </w:rPr>
              <w:t>应当根据本企业的成本自行决定报价，但不得以低于其企业成本的报价投标。</w:t>
            </w:r>
          </w:p>
          <w:p w14:paraId="65D579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w:t>
            </w:r>
            <w:r>
              <w:rPr>
                <w:rFonts w:hint="eastAsia" w:ascii="仿宋" w:hAnsi="仿宋" w:eastAsia="仿宋" w:cs="仿宋"/>
                <w:color w:val="000000" w:themeColor="text1"/>
                <w:sz w:val="24"/>
                <w:szCs w:val="24"/>
                <w:lang w:val="en-US" w:eastAsia="zh-CN"/>
                <w14:textFill>
                  <w14:solidFill>
                    <w14:schemeClr w14:val="tx1"/>
                  </w14:solidFill>
                </w14:textFill>
              </w:rPr>
              <w:t>投标人需按附件3表格要求单项报价。且投标总价不得超过预算金额，一旦超出，将按废标处理。</w:t>
            </w:r>
          </w:p>
          <w:p w14:paraId="7B83AA6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.投标</w:t>
            </w:r>
            <w:r>
              <w:rPr>
                <w:rFonts w:hint="eastAsia" w:ascii="仿宋" w:hAnsi="仿宋" w:eastAsia="仿宋" w:cs="仿宋"/>
                <w:color w:val="000000"/>
                <w:sz w:val="24"/>
                <w:szCs w:val="24"/>
                <w:lang w:val="en-US" w:eastAsia="zh-CN"/>
              </w:rPr>
              <w:t>人</w:t>
            </w:r>
            <w:r>
              <w:rPr>
                <w:rFonts w:hint="eastAsia" w:ascii="仿宋" w:hAnsi="仿宋" w:eastAsia="仿宋" w:cs="仿宋"/>
                <w:color w:val="000000"/>
                <w:sz w:val="24"/>
                <w:szCs w:val="24"/>
              </w:rPr>
              <w:t>的报价，应当是本项目采购范围和采购文件及合同条款上所列的各项内容中所述的全部，不得以任何理由予以重复。</w:t>
            </w:r>
          </w:p>
          <w:p w14:paraId="256A3D2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.除非采购人通过修改采购文件予以更正，否则，投标</w:t>
            </w:r>
            <w:r>
              <w:rPr>
                <w:rFonts w:hint="eastAsia" w:ascii="仿宋" w:hAnsi="仿宋" w:eastAsia="仿宋" w:cs="仿宋"/>
                <w:color w:val="000000"/>
                <w:sz w:val="24"/>
                <w:szCs w:val="24"/>
                <w:lang w:val="en-US" w:eastAsia="zh-CN"/>
              </w:rPr>
              <w:t>人</w:t>
            </w:r>
            <w:r>
              <w:rPr>
                <w:rFonts w:hint="eastAsia" w:ascii="仿宋" w:hAnsi="仿宋" w:eastAsia="仿宋" w:cs="仿宋"/>
                <w:color w:val="000000"/>
                <w:sz w:val="24"/>
                <w:szCs w:val="24"/>
              </w:rPr>
              <w:t>应毫无例外地按响应文件所列的清单中项目和数量填报综合单价和合价。投标</w:t>
            </w:r>
            <w:r>
              <w:rPr>
                <w:rFonts w:hint="eastAsia" w:ascii="仿宋" w:hAnsi="仿宋" w:eastAsia="仿宋" w:cs="仿宋"/>
                <w:color w:val="000000"/>
                <w:sz w:val="24"/>
                <w:szCs w:val="24"/>
                <w:lang w:val="en-US" w:eastAsia="zh-CN"/>
              </w:rPr>
              <w:t>人</w:t>
            </w:r>
            <w:r>
              <w:rPr>
                <w:rFonts w:hint="eastAsia" w:ascii="仿宋" w:hAnsi="仿宋" w:eastAsia="仿宋" w:cs="仿宋"/>
                <w:color w:val="000000"/>
                <w:sz w:val="24"/>
                <w:szCs w:val="24"/>
              </w:rPr>
              <w:t>未填综合单价或合价的项目，在实施后，将不得以支付，并视作该项费用已包括在其它有价款的综合单价或合价内。</w:t>
            </w:r>
          </w:p>
          <w:p w14:paraId="3461574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rPr>
              <w:t>.投标</w:t>
            </w:r>
            <w:r>
              <w:rPr>
                <w:rFonts w:hint="eastAsia" w:ascii="仿宋" w:hAnsi="仿宋" w:eastAsia="仿宋" w:cs="仿宋"/>
                <w:color w:val="000000"/>
                <w:sz w:val="24"/>
                <w:szCs w:val="24"/>
                <w:lang w:val="en-US" w:eastAsia="zh-CN"/>
              </w:rPr>
              <w:t>人</w:t>
            </w:r>
            <w:r>
              <w:rPr>
                <w:rFonts w:hint="eastAsia" w:ascii="仿宋" w:hAnsi="仿宋" w:eastAsia="仿宋" w:cs="仿宋"/>
                <w:color w:val="000000"/>
                <w:sz w:val="24"/>
                <w:szCs w:val="24"/>
              </w:rPr>
              <w:t>应先到项目地点踏勘以充分了解项目的位置、情况、道路及任何其它足以影响投标报价的情况，任何因忽视或误解项目情况而导致的索赔或服务期限延长申请将不获批准。</w:t>
            </w:r>
          </w:p>
          <w:p w14:paraId="33F6ADA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kern w:val="0"/>
                <w:sz w:val="24"/>
                <w:szCs w:val="24"/>
              </w:rPr>
            </w:pP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.投标</w:t>
            </w:r>
            <w:r>
              <w:rPr>
                <w:rFonts w:hint="eastAsia" w:ascii="仿宋" w:hAnsi="仿宋" w:eastAsia="仿宋" w:cs="仿宋"/>
                <w:color w:val="000000"/>
                <w:sz w:val="24"/>
                <w:szCs w:val="24"/>
                <w:lang w:val="en-US" w:eastAsia="zh-CN"/>
              </w:rPr>
              <w:t>人</w:t>
            </w:r>
            <w:r>
              <w:rPr>
                <w:rFonts w:hint="eastAsia" w:ascii="仿宋" w:hAnsi="仿宋" w:eastAsia="仿宋" w:cs="仿宋"/>
                <w:color w:val="000000"/>
                <w:sz w:val="24"/>
                <w:szCs w:val="24"/>
              </w:rPr>
              <w:t>不得期望通过索赔等方式获取补偿，否则，除可能遭到拒绝外，还可能将被作为不良行为记录在案，并可能影响其以后参加政府采购的项目投标。各投标</w:t>
            </w:r>
            <w:r>
              <w:rPr>
                <w:rFonts w:hint="eastAsia" w:ascii="仿宋" w:hAnsi="仿宋" w:eastAsia="仿宋" w:cs="仿宋"/>
                <w:color w:val="000000"/>
                <w:sz w:val="24"/>
                <w:szCs w:val="24"/>
                <w:lang w:val="en-US" w:eastAsia="zh-CN"/>
              </w:rPr>
              <w:t>人</w:t>
            </w:r>
            <w:r>
              <w:rPr>
                <w:rFonts w:hint="eastAsia" w:ascii="仿宋" w:hAnsi="仿宋" w:eastAsia="仿宋" w:cs="仿宋"/>
                <w:color w:val="000000"/>
                <w:sz w:val="24"/>
                <w:szCs w:val="24"/>
              </w:rPr>
              <w:t>在报价时，应充分考虑报价的风险。</w:t>
            </w:r>
          </w:p>
        </w:tc>
      </w:tr>
    </w:tbl>
    <w:p w14:paraId="7DFC888D">
      <w:pPr>
        <w:spacing w:line="360" w:lineRule="exact"/>
        <w:jc w:val="left"/>
        <w:rPr>
          <w:rFonts w:hint="eastAsia" w:ascii="仿宋" w:hAnsi="仿宋" w:eastAsia="仿宋" w:cs="仿宋"/>
          <w:bCs/>
          <w:sz w:val="24"/>
          <w:szCs w:val="24"/>
        </w:rPr>
      </w:pPr>
      <w:r>
        <w:rPr>
          <w:rFonts w:hint="eastAsia" w:ascii="仿宋" w:hAnsi="仿宋" w:eastAsia="仿宋" w:cs="仿宋"/>
          <w:bCs/>
          <w:sz w:val="24"/>
          <w:szCs w:val="24"/>
        </w:rPr>
        <w:t>注：1、带“*”号的为必填表内容，其他内容可根据项目作适当增减。</w:t>
      </w:r>
    </w:p>
    <w:p w14:paraId="527CF1A0">
      <w:pPr>
        <w:pStyle w:val="2"/>
        <w:rPr>
          <w:rFonts w:hint="eastAsia" w:ascii="仿宋" w:hAnsi="仿宋" w:eastAsia="仿宋" w:cs="仿宋"/>
          <w:bCs/>
          <w:sz w:val="24"/>
          <w:szCs w:val="24"/>
        </w:rPr>
      </w:pPr>
    </w:p>
    <w:p w14:paraId="7F2A9CCA">
      <w:pPr>
        <w:pStyle w:val="3"/>
        <w:rPr>
          <w:rFonts w:hint="eastAsia" w:ascii="仿宋" w:hAnsi="仿宋" w:eastAsia="仿宋" w:cs="仿宋"/>
          <w:bCs/>
          <w:sz w:val="24"/>
          <w:szCs w:val="24"/>
        </w:rPr>
      </w:pPr>
    </w:p>
    <w:p w14:paraId="47B7BF4E">
      <w:pPr>
        <w:pStyle w:val="4"/>
        <w:rPr>
          <w:rFonts w:hint="eastAsia" w:ascii="仿宋" w:hAnsi="仿宋" w:eastAsia="仿宋" w:cs="仿宋"/>
          <w:bCs/>
          <w:sz w:val="24"/>
          <w:szCs w:val="24"/>
        </w:rPr>
      </w:pPr>
    </w:p>
    <w:p w14:paraId="62C15ED3">
      <w:pPr>
        <w:rPr>
          <w:rFonts w:hint="eastAsia" w:ascii="仿宋" w:hAnsi="仿宋" w:eastAsia="仿宋" w:cs="仿宋"/>
          <w:bCs/>
          <w:sz w:val="24"/>
          <w:szCs w:val="24"/>
        </w:rPr>
      </w:pPr>
    </w:p>
    <w:p w14:paraId="2409C755">
      <w:pPr>
        <w:pStyle w:val="2"/>
        <w:rPr>
          <w:rFonts w:hint="eastAsia" w:ascii="仿宋" w:hAnsi="仿宋" w:eastAsia="仿宋" w:cs="仿宋"/>
          <w:bCs/>
          <w:sz w:val="24"/>
          <w:szCs w:val="24"/>
        </w:rPr>
      </w:pPr>
    </w:p>
    <w:p w14:paraId="73542B34">
      <w:pPr>
        <w:pStyle w:val="3"/>
        <w:rPr>
          <w:rFonts w:hint="eastAsia" w:ascii="仿宋" w:hAnsi="仿宋" w:eastAsia="仿宋" w:cs="仿宋"/>
          <w:bCs/>
          <w:sz w:val="24"/>
          <w:szCs w:val="24"/>
        </w:rPr>
      </w:pPr>
    </w:p>
    <w:p w14:paraId="222FDFDD">
      <w:pPr>
        <w:pStyle w:val="4"/>
        <w:jc w:val="both"/>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附件1.深圳市规划国土发展研究中心速记服务需求报价表</w:t>
      </w:r>
      <w:bookmarkStart w:id="0" w:name="_GoBack"/>
      <w:bookmarkEnd w:id="0"/>
    </w:p>
    <w:p w14:paraId="267EAD92">
      <w:pPr>
        <w:rPr>
          <w:rFonts w:hint="eastAsia"/>
          <w:lang w:val="en-US" w:eastAsia="zh-CN"/>
        </w:rPr>
      </w:pPr>
    </w:p>
    <w:p w14:paraId="5F9A3D7F">
      <w:pPr>
        <w:ind w:left="0" w:leftChars="0" w:right="126" w:rightChars="60" w:firstLine="291" w:firstLineChars="91"/>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lang w:val="en-US" w:eastAsia="zh-CN"/>
        </w:rPr>
        <w:t>深圳市规划国土发展研究中心速记服务需求报价</w:t>
      </w:r>
      <w:r>
        <w:rPr>
          <w:rFonts w:hint="eastAsia" w:ascii="方正小标宋简体" w:hAnsi="方正小标宋简体" w:eastAsia="方正小标宋简体" w:cs="方正小标宋简体"/>
          <w:b w:val="0"/>
          <w:bCs w:val="0"/>
          <w:sz w:val="32"/>
          <w:szCs w:val="32"/>
        </w:rPr>
        <w:t>表</w:t>
      </w:r>
    </w:p>
    <w:p w14:paraId="4567A435">
      <w:pPr>
        <w:pStyle w:val="10"/>
        <w:rPr>
          <w:rFonts w:hint="eastAsia"/>
        </w:rPr>
      </w:pPr>
    </w:p>
    <w:p w14:paraId="62777C93">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报价单位： </w:t>
      </w:r>
    </w:p>
    <w:tbl>
      <w:tblPr>
        <w:tblStyle w:val="7"/>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7"/>
        <w:gridCol w:w="2903"/>
        <w:gridCol w:w="2646"/>
      </w:tblGrid>
      <w:tr w14:paraId="09CC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7" w:type="dxa"/>
          </w:tcPr>
          <w:p w14:paraId="4D5A39DE">
            <w:pPr>
              <w:keepNext w:val="0"/>
              <w:keepLines w:val="0"/>
              <w:pageBreakBefore w:val="0"/>
              <w:kinsoku/>
              <w:overflowPunct/>
              <w:topLinePunct w:val="0"/>
              <w:bidi w:val="0"/>
              <w:spacing w:line="240" w:lineRule="auto"/>
              <w:rPr>
                <w:rFonts w:hint="default" w:ascii="宋体" w:hAnsi="宋体" w:eastAsia="宋体" w:cs="宋体"/>
                <w:b w:val="0"/>
                <w:bCs w:val="0"/>
                <w:color w:val="auto"/>
                <w:sz w:val="24"/>
                <w:vertAlign w:val="baseline"/>
                <w:lang w:val="en-US" w:eastAsia="zh-CN"/>
              </w:rPr>
            </w:pPr>
            <w:r>
              <w:rPr>
                <w:rFonts w:hint="eastAsia" w:ascii="宋体" w:hAnsi="宋体" w:cs="宋体"/>
                <w:b w:val="0"/>
                <w:bCs w:val="0"/>
                <w:color w:val="auto"/>
                <w:sz w:val="24"/>
                <w:vertAlign w:val="baseline"/>
                <w:lang w:val="en-US" w:eastAsia="zh-CN"/>
              </w:rPr>
              <w:t>服务内容</w:t>
            </w:r>
          </w:p>
        </w:tc>
        <w:tc>
          <w:tcPr>
            <w:tcW w:w="2903" w:type="dxa"/>
          </w:tcPr>
          <w:p w14:paraId="764BDC60">
            <w:pPr>
              <w:keepNext w:val="0"/>
              <w:keepLines w:val="0"/>
              <w:pageBreakBefore w:val="0"/>
              <w:kinsoku/>
              <w:overflowPunct/>
              <w:topLinePunct w:val="0"/>
              <w:bidi w:val="0"/>
              <w:spacing w:line="240" w:lineRule="auto"/>
              <w:rPr>
                <w:rFonts w:hint="default" w:ascii="宋体" w:hAnsi="宋体" w:cs="宋体"/>
                <w:b w:val="0"/>
                <w:bCs w:val="0"/>
                <w:color w:val="auto"/>
                <w:sz w:val="24"/>
                <w:vertAlign w:val="baseline"/>
                <w:lang w:val="en-US" w:eastAsia="zh-CN"/>
              </w:rPr>
            </w:pPr>
            <w:r>
              <w:rPr>
                <w:rFonts w:hint="eastAsia" w:ascii="宋体" w:hAnsi="宋体" w:cs="宋体"/>
                <w:b w:val="0"/>
                <w:bCs w:val="0"/>
                <w:color w:val="auto"/>
                <w:sz w:val="24"/>
                <w:vertAlign w:val="baseline"/>
                <w:lang w:val="en-US" w:eastAsia="zh-CN"/>
              </w:rPr>
              <w:t>服务报价（中文，普通话）</w:t>
            </w:r>
          </w:p>
        </w:tc>
        <w:tc>
          <w:tcPr>
            <w:tcW w:w="2646" w:type="dxa"/>
          </w:tcPr>
          <w:p w14:paraId="0A20A031">
            <w:pPr>
              <w:keepNext w:val="0"/>
              <w:keepLines w:val="0"/>
              <w:pageBreakBefore w:val="0"/>
              <w:kinsoku/>
              <w:overflowPunct/>
              <w:topLinePunct w:val="0"/>
              <w:bidi w:val="0"/>
              <w:spacing w:line="240" w:lineRule="auto"/>
              <w:rPr>
                <w:rFonts w:hint="default" w:ascii="宋体" w:hAnsi="宋体" w:eastAsia="宋体" w:cs="宋体"/>
                <w:b w:val="0"/>
                <w:bCs w:val="0"/>
                <w:color w:val="auto"/>
                <w:sz w:val="24"/>
                <w:vertAlign w:val="baseline"/>
                <w:lang w:val="en-US" w:eastAsia="zh-CN"/>
              </w:rPr>
            </w:pPr>
            <w:r>
              <w:rPr>
                <w:rFonts w:hint="eastAsia" w:ascii="宋体" w:hAnsi="宋体" w:cs="宋体"/>
                <w:b w:val="0"/>
                <w:bCs w:val="0"/>
                <w:color w:val="auto"/>
                <w:sz w:val="24"/>
                <w:vertAlign w:val="baseline"/>
                <w:lang w:val="en-US" w:eastAsia="zh-CN"/>
              </w:rPr>
              <w:t>服务报价（外文，英语）</w:t>
            </w:r>
          </w:p>
        </w:tc>
      </w:tr>
      <w:tr w14:paraId="2B525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7" w:type="dxa"/>
          </w:tcPr>
          <w:p w14:paraId="2907FF66">
            <w:pPr>
              <w:keepNext w:val="0"/>
              <w:keepLines w:val="0"/>
              <w:pageBreakBefore w:val="0"/>
              <w:kinsoku/>
              <w:overflowPunct/>
              <w:topLinePunct w:val="0"/>
              <w:bidi w:val="0"/>
              <w:spacing w:line="240" w:lineRule="auto"/>
              <w:rPr>
                <w:rFonts w:hint="default" w:ascii="宋体" w:hAnsi="宋体" w:eastAsia="宋体" w:cs="宋体"/>
                <w:b w:val="0"/>
                <w:bCs w:val="0"/>
                <w:color w:val="auto"/>
                <w:sz w:val="24"/>
                <w:vertAlign w:val="baseline"/>
                <w:lang w:val="en-US" w:eastAsia="zh-CN"/>
              </w:rPr>
            </w:pPr>
            <w:r>
              <w:rPr>
                <w:rFonts w:hint="eastAsia" w:ascii="宋体" w:hAnsi="宋体" w:cs="宋体"/>
                <w:b w:val="0"/>
                <w:bCs w:val="0"/>
                <w:color w:val="auto"/>
                <w:sz w:val="24"/>
                <w:vertAlign w:val="baseline"/>
                <w:lang w:val="en-US" w:eastAsia="zh-CN"/>
              </w:rPr>
              <w:t>现场速记/直播速记（深圳市区内，半天）</w:t>
            </w:r>
          </w:p>
        </w:tc>
        <w:tc>
          <w:tcPr>
            <w:tcW w:w="2903" w:type="dxa"/>
          </w:tcPr>
          <w:p w14:paraId="6E921855">
            <w:pPr>
              <w:keepNext w:val="0"/>
              <w:keepLines w:val="0"/>
              <w:pageBreakBefore w:val="0"/>
              <w:kinsoku/>
              <w:overflowPunct/>
              <w:topLinePunct w:val="0"/>
              <w:bidi w:val="0"/>
              <w:spacing w:line="240" w:lineRule="auto"/>
              <w:rPr>
                <w:rFonts w:hint="eastAsia" w:ascii="宋体" w:hAnsi="宋体" w:cs="宋体"/>
                <w:b w:val="0"/>
                <w:bCs w:val="0"/>
                <w:color w:val="auto"/>
                <w:sz w:val="24"/>
                <w:vertAlign w:val="baseline"/>
              </w:rPr>
            </w:pPr>
          </w:p>
        </w:tc>
        <w:tc>
          <w:tcPr>
            <w:tcW w:w="2646" w:type="dxa"/>
          </w:tcPr>
          <w:p w14:paraId="357B7AA9">
            <w:pPr>
              <w:keepNext w:val="0"/>
              <w:keepLines w:val="0"/>
              <w:pageBreakBefore w:val="0"/>
              <w:kinsoku/>
              <w:overflowPunct/>
              <w:topLinePunct w:val="0"/>
              <w:bidi w:val="0"/>
              <w:spacing w:line="240" w:lineRule="auto"/>
              <w:rPr>
                <w:rFonts w:hint="eastAsia" w:ascii="宋体" w:hAnsi="宋体" w:cs="宋体"/>
                <w:b w:val="0"/>
                <w:bCs w:val="0"/>
                <w:color w:val="auto"/>
                <w:sz w:val="24"/>
                <w:vertAlign w:val="baseline"/>
              </w:rPr>
            </w:pPr>
          </w:p>
        </w:tc>
      </w:tr>
      <w:tr w14:paraId="33646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7" w:type="dxa"/>
          </w:tcPr>
          <w:p w14:paraId="0D597CD3">
            <w:pPr>
              <w:keepNext w:val="0"/>
              <w:keepLines w:val="0"/>
              <w:pageBreakBefore w:val="0"/>
              <w:kinsoku/>
              <w:overflowPunct/>
              <w:topLinePunct w:val="0"/>
              <w:bidi w:val="0"/>
              <w:spacing w:line="240" w:lineRule="auto"/>
              <w:rPr>
                <w:rFonts w:hint="default" w:ascii="宋体" w:hAnsi="宋体" w:cs="宋体"/>
                <w:b w:val="0"/>
                <w:bCs w:val="0"/>
                <w:color w:val="auto"/>
                <w:sz w:val="24"/>
                <w:vertAlign w:val="baseline"/>
                <w:lang w:val="en-US" w:eastAsia="zh-CN"/>
              </w:rPr>
            </w:pPr>
            <w:r>
              <w:rPr>
                <w:rFonts w:hint="eastAsia" w:ascii="宋体" w:hAnsi="宋体" w:cs="宋体"/>
                <w:b w:val="0"/>
                <w:bCs w:val="0"/>
                <w:color w:val="auto"/>
                <w:sz w:val="24"/>
                <w:vertAlign w:val="baseline"/>
                <w:lang w:val="en-US" w:eastAsia="zh-CN"/>
              </w:rPr>
              <w:t>现场速记/直播速记超时费（每小时）</w:t>
            </w:r>
          </w:p>
        </w:tc>
        <w:tc>
          <w:tcPr>
            <w:tcW w:w="2903" w:type="dxa"/>
          </w:tcPr>
          <w:p w14:paraId="23D48032">
            <w:pPr>
              <w:keepNext w:val="0"/>
              <w:keepLines w:val="0"/>
              <w:pageBreakBefore w:val="0"/>
              <w:kinsoku/>
              <w:overflowPunct/>
              <w:topLinePunct w:val="0"/>
              <w:bidi w:val="0"/>
              <w:spacing w:line="240" w:lineRule="auto"/>
              <w:rPr>
                <w:rFonts w:hint="eastAsia" w:ascii="宋体" w:hAnsi="宋体" w:cs="宋体"/>
                <w:b w:val="0"/>
                <w:bCs w:val="0"/>
                <w:color w:val="auto"/>
                <w:sz w:val="24"/>
                <w:vertAlign w:val="baseline"/>
              </w:rPr>
            </w:pPr>
          </w:p>
        </w:tc>
        <w:tc>
          <w:tcPr>
            <w:tcW w:w="2646" w:type="dxa"/>
          </w:tcPr>
          <w:p w14:paraId="556FF085">
            <w:pPr>
              <w:keepNext w:val="0"/>
              <w:keepLines w:val="0"/>
              <w:pageBreakBefore w:val="0"/>
              <w:kinsoku/>
              <w:overflowPunct/>
              <w:topLinePunct w:val="0"/>
              <w:bidi w:val="0"/>
              <w:spacing w:line="240" w:lineRule="auto"/>
              <w:rPr>
                <w:rFonts w:hint="eastAsia" w:ascii="宋体" w:hAnsi="宋体" w:cs="宋体"/>
                <w:b w:val="0"/>
                <w:bCs w:val="0"/>
                <w:color w:val="auto"/>
                <w:sz w:val="24"/>
                <w:vertAlign w:val="baseline"/>
              </w:rPr>
            </w:pPr>
          </w:p>
        </w:tc>
      </w:tr>
      <w:tr w14:paraId="6E2A1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7" w:type="dxa"/>
          </w:tcPr>
          <w:p w14:paraId="060B0C69">
            <w:pPr>
              <w:keepNext w:val="0"/>
              <w:keepLines w:val="0"/>
              <w:pageBreakBefore w:val="0"/>
              <w:kinsoku/>
              <w:overflowPunct/>
              <w:topLinePunct w:val="0"/>
              <w:bidi w:val="0"/>
              <w:spacing w:line="240" w:lineRule="auto"/>
              <w:rPr>
                <w:rFonts w:hint="default" w:ascii="宋体" w:hAnsi="宋体" w:eastAsia="宋体" w:cs="宋体"/>
                <w:b w:val="0"/>
                <w:bCs w:val="0"/>
                <w:color w:val="auto"/>
                <w:sz w:val="24"/>
                <w:vertAlign w:val="baseline"/>
                <w:lang w:val="en-US" w:eastAsia="zh-CN"/>
              </w:rPr>
            </w:pPr>
            <w:r>
              <w:rPr>
                <w:rFonts w:hint="eastAsia" w:ascii="宋体" w:hAnsi="宋体" w:cs="宋体"/>
                <w:b w:val="0"/>
                <w:bCs w:val="0"/>
                <w:color w:val="auto"/>
                <w:sz w:val="24"/>
                <w:vertAlign w:val="baseline"/>
                <w:lang w:val="en-US" w:eastAsia="zh-CN"/>
              </w:rPr>
              <w:t>大屏幕投影速记（单人组、半天）</w:t>
            </w:r>
          </w:p>
        </w:tc>
        <w:tc>
          <w:tcPr>
            <w:tcW w:w="2903" w:type="dxa"/>
          </w:tcPr>
          <w:p w14:paraId="74565680">
            <w:pPr>
              <w:keepNext w:val="0"/>
              <w:keepLines w:val="0"/>
              <w:pageBreakBefore w:val="0"/>
              <w:kinsoku/>
              <w:overflowPunct/>
              <w:topLinePunct w:val="0"/>
              <w:bidi w:val="0"/>
              <w:spacing w:line="240" w:lineRule="auto"/>
              <w:rPr>
                <w:rFonts w:hint="eastAsia" w:ascii="宋体" w:hAnsi="宋体" w:cs="宋体"/>
                <w:b w:val="0"/>
                <w:bCs w:val="0"/>
                <w:color w:val="auto"/>
                <w:sz w:val="24"/>
                <w:vertAlign w:val="baseline"/>
              </w:rPr>
            </w:pPr>
          </w:p>
        </w:tc>
        <w:tc>
          <w:tcPr>
            <w:tcW w:w="2646" w:type="dxa"/>
          </w:tcPr>
          <w:p w14:paraId="5803EFE6">
            <w:pPr>
              <w:keepNext w:val="0"/>
              <w:keepLines w:val="0"/>
              <w:pageBreakBefore w:val="0"/>
              <w:kinsoku/>
              <w:overflowPunct/>
              <w:topLinePunct w:val="0"/>
              <w:bidi w:val="0"/>
              <w:spacing w:line="240" w:lineRule="auto"/>
              <w:rPr>
                <w:rFonts w:hint="eastAsia" w:ascii="宋体" w:hAnsi="宋体" w:cs="宋体"/>
                <w:b w:val="0"/>
                <w:bCs w:val="0"/>
                <w:color w:val="auto"/>
                <w:sz w:val="24"/>
                <w:vertAlign w:val="baseline"/>
              </w:rPr>
            </w:pPr>
          </w:p>
        </w:tc>
      </w:tr>
      <w:tr w14:paraId="3738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7" w:type="dxa"/>
          </w:tcPr>
          <w:p w14:paraId="078CA152">
            <w:pPr>
              <w:keepNext w:val="0"/>
              <w:keepLines w:val="0"/>
              <w:pageBreakBefore w:val="0"/>
              <w:kinsoku/>
              <w:overflowPunct/>
              <w:topLinePunct w:val="0"/>
              <w:bidi w:val="0"/>
              <w:spacing w:line="240" w:lineRule="auto"/>
              <w:rPr>
                <w:rFonts w:hint="eastAsia" w:ascii="宋体" w:hAnsi="宋体" w:cs="宋体"/>
                <w:b w:val="0"/>
                <w:bCs w:val="0"/>
                <w:color w:val="auto"/>
                <w:sz w:val="24"/>
                <w:vertAlign w:val="baseline"/>
                <w:lang w:val="en-US" w:eastAsia="zh-CN"/>
              </w:rPr>
            </w:pPr>
            <w:r>
              <w:rPr>
                <w:rFonts w:hint="eastAsia" w:ascii="宋体" w:hAnsi="宋体" w:cs="宋体"/>
                <w:b w:val="0"/>
                <w:bCs w:val="0"/>
                <w:color w:val="auto"/>
                <w:sz w:val="24"/>
                <w:vertAlign w:val="baseline"/>
                <w:lang w:val="en-US" w:eastAsia="zh-CN"/>
              </w:rPr>
              <w:t>大屏幕投影速记（双人组、半天）</w:t>
            </w:r>
          </w:p>
        </w:tc>
        <w:tc>
          <w:tcPr>
            <w:tcW w:w="2903" w:type="dxa"/>
          </w:tcPr>
          <w:p w14:paraId="5354017E">
            <w:pPr>
              <w:keepNext w:val="0"/>
              <w:keepLines w:val="0"/>
              <w:pageBreakBefore w:val="0"/>
              <w:kinsoku/>
              <w:overflowPunct/>
              <w:topLinePunct w:val="0"/>
              <w:bidi w:val="0"/>
              <w:spacing w:line="240" w:lineRule="auto"/>
              <w:rPr>
                <w:rFonts w:hint="eastAsia" w:ascii="宋体" w:hAnsi="宋体" w:cs="宋体"/>
                <w:b w:val="0"/>
                <w:bCs w:val="0"/>
                <w:color w:val="auto"/>
                <w:sz w:val="24"/>
                <w:vertAlign w:val="baseline"/>
              </w:rPr>
            </w:pPr>
          </w:p>
        </w:tc>
        <w:tc>
          <w:tcPr>
            <w:tcW w:w="2646" w:type="dxa"/>
          </w:tcPr>
          <w:p w14:paraId="22329CDC">
            <w:pPr>
              <w:keepNext w:val="0"/>
              <w:keepLines w:val="0"/>
              <w:pageBreakBefore w:val="0"/>
              <w:kinsoku/>
              <w:overflowPunct/>
              <w:topLinePunct w:val="0"/>
              <w:bidi w:val="0"/>
              <w:spacing w:line="240" w:lineRule="auto"/>
              <w:rPr>
                <w:rFonts w:hint="eastAsia" w:ascii="宋体" w:hAnsi="宋体" w:cs="宋体"/>
                <w:b w:val="0"/>
                <w:bCs w:val="0"/>
                <w:color w:val="auto"/>
                <w:sz w:val="24"/>
                <w:vertAlign w:val="baseline"/>
              </w:rPr>
            </w:pPr>
          </w:p>
        </w:tc>
      </w:tr>
      <w:tr w14:paraId="78A6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7" w:type="dxa"/>
          </w:tcPr>
          <w:p w14:paraId="7C08713B">
            <w:pPr>
              <w:keepNext w:val="0"/>
              <w:keepLines w:val="0"/>
              <w:pageBreakBefore w:val="0"/>
              <w:kinsoku/>
              <w:overflowPunct/>
              <w:topLinePunct w:val="0"/>
              <w:bidi w:val="0"/>
              <w:spacing w:line="240" w:lineRule="auto"/>
              <w:rPr>
                <w:rFonts w:hint="default" w:ascii="宋体" w:hAnsi="宋体" w:eastAsia="宋体" w:cs="宋体"/>
                <w:b w:val="0"/>
                <w:bCs w:val="0"/>
                <w:color w:val="auto"/>
                <w:sz w:val="24"/>
                <w:vertAlign w:val="baseline"/>
                <w:lang w:val="en-US" w:eastAsia="zh-CN"/>
              </w:rPr>
            </w:pPr>
            <w:r>
              <w:rPr>
                <w:rFonts w:hint="eastAsia" w:ascii="宋体" w:hAnsi="宋体" w:cs="宋体"/>
                <w:b w:val="0"/>
                <w:bCs w:val="0"/>
                <w:color w:val="auto"/>
                <w:sz w:val="24"/>
                <w:vertAlign w:val="baseline"/>
                <w:lang w:val="en-US" w:eastAsia="zh-CN"/>
              </w:rPr>
              <w:t>录音录像文字整理普通（每小时）</w:t>
            </w:r>
          </w:p>
        </w:tc>
        <w:tc>
          <w:tcPr>
            <w:tcW w:w="2903" w:type="dxa"/>
          </w:tcPr>
          <w:p w14:paraId="52A0C044">
            <w:pPr>
              <w:keepNext w:val="0"/>
              <w:keepLines w:val="0"/>
              <w:pageBreakBefore w:val="0"/>
              <w:kinsoku/>
              <w:overflowPunct/>
              <w:topLinePunct w:val="0"/>
              <w:bidi w:val="0"/>
              <w:spacing w:line="240" w:lineRule="auto"/>
              <w:rPr>
                <w:rFonts w:hint="eastAsia" w:ascii="宋体" w:hAnsi="宋体" w:cs="宋体"/>
                <w:b w:val="0"/>
                <w:bCs w:val="0"/>
                <w:color w:val="auto"/>
                <w:sz w:val="24"/>
                <w:vertAlign w:val="baseline"/>
              </w:rPr>
            </w:pPr>
          </w:p>
        </w:tc>
        <w:tc>
          <w:tcPr>
            <w:tcW w:w="2646" w:type="dxa"/>
          </w:tcPr>
          <w:p w14:paraId="64C52941">
            <w:pPr>
              <w:keepNext w:val="0"/>
              <w:keepLines w:val="0"/>
              <w:pageBreakBefore w:val="0"/>
              <w:kinsoku/>
              <w:overflowPunct/>
              <w:topLinePunct w:val="0"/>
              <w:bidi w:val="0"/>
              <w:spacing w:line="240" w:lineRule="auto"/>
              <w:rPr>
                <w:rFonts w:hint="eastAsia" w:ascii="宋体" w:hAnsi="宋体" w:cs="宋体"/>
                <w:b w:val="0"/>
                <w:bCs w:val="0"/>
                <w:color w:val="auto"/>
                <w:sz w:val="24"/>
                <w:vertAlign w:val="baseline"/>
              </w:rPr>
            </w:pPr>
          </w:p>
        </w:tc>
      </w:tr>
      <w:tr w14:paraId="3C62B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7" w:type="dxa"/>
          </w:tcPr>
          <w:p w14:paraId="4C2E5327">
            <w:pPr>
              <w:keepNext w:val="0"/>
              <w:keepLines w:val="0"/>
              <w:pageBreakBefore w:val="0"/>
              <w:kinsoku/>
              <w:overflowPunct/>
              <w:topLinePunct w:val="0"/>
              <w:bidi w:val="0"/>
              <w:spacing w:line="240" w:lineRule="auto"/>
              <w:rPr>
                <w:rFonts w:hint="default" w:ascii="宋体" w:hAnsi="宋体" w:eastAsia="宋体" w:cs="宋体"/>
                <w:b w:val="0"/>
                <w:bCs w:val="0"/>
                <w:color w:val="auto"/>
                <w:sz w:val="24"/>
                <w:vertAlign w:val="baseline"/>
                <w:lang w:val="en-US" w:eastAsia="zh-CN"/>
              </w:rPr>
            </w:pPr>
            <w:r>
              <w:rPr>
                <w:rFonts w:hint="eastAsia" w:ascii="宋体" w:hAnsi="宋体" w:cs="宋体"/>
                <w:b w:val="0"/>
                <w:bCs w:val="0"/>
                <w:color w:val="auto"/>
                <w:sz w:val="24"/>
                <w:vertAlign w:val="baseline"/>
                <w:lang w:val="en-US" w:eastAsia="zh-CN"/>
              </w:rPr>
              <w:t>录音录像文字整理加急（每小时）</w:t>
            </w:r>
          </w:p>
        </w:tc>
        <w:tc>
          <w:tcPr>
            <w:tcW w:w="2903" w:type="dxa"/>
          </w:tcPr>
          <w:p w14:paraId="3304E9C3">
            <w:pPr>
              <w:keepNext w:val="0"/>
              <w:keepLines w:val="0"/>
              <w:pageBreakBefore w:val="0"/>
              <w:kinsoku/>
              <w:overflowPunct/>
              <w:topLinePunct w:val="0"/>
              <w:bidi w:val="0"/>
              <w:spacing w:line="240" w:lineRule="auto"/>
              <w:rPr>
                <w:rFonts w:hint="eastAsia" w:ascii="宋体" w:hAnsi="宋体" w:cs="宋体"/>
                <w:b w:val="0"/>
                <w:bCs w:val="0"/>
                <w:color w:val="auto"/>
                <w:sz w:val="24"/>
                <w:vertAlign w:val="baseline"/>
              </w:rPr>
            </w:pPr>
          </w:p>
        </w:tc>
        <w:tc>
          <w:tcPr>
            <w:tcW w:w="2646" w:type="dxa"/>
          </w:tcPr>
          <w:p w14:paraId="5F1B45B1">
            <w:pPr>
              <w:keepNext w:val="0"/>
              <w:keepLines w:val="0"/>
              <w:pageBreakBefore w:val="0"/>
              <w:kinsoku/>
              <w:overflowPunct/>
              <w:topLinePunct w:val="0"/>
              <w:bidi w:val="0"/>
              <w:spacing w:line="240" w:lineRule="auto"/>
              <w:rPr>
                <w:rFonts w:hint="eastAsia" w:ascii="宋体" w:hAnsi="宋体" w:cs="宋体"/>
                <w:b w:val="0"/>
                <w:bCs w:val="0"/>
                <w:color w:val="auto"/>
                <w:sz w:val="24"/>
                <w:vertAlign w:val="baseline"/>
              </w:rPr>
            </w:pPr>
          </w:p>
        </w:tc>
      </w:tr>
      <w:tr w14:paraId="5A08B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7" w:type="dxa"/>
          </w:tcPr>
          <w:p w14:paraId="14A58563">
            <w:pPr>
              <w:keepNext w:val="0"/>
              <w:keepLines w:val="0"/>
              <w:pageBreakBefore w:val="0"/>
              <w:kinsoku/>
              <w:overflowPunct/>
              <w:topLinePunct w:val="0"/>
              <w:bidi w:val="0"/>
              <w:spacing w:line="240" w:lineRule="auto"/>
              <w:rPr>
                <w:rFonts w:hint="eastAsia" w:ascii="宋体" w:hAnsi="宋体" w:cs="宋体"/>
                <w:b w:val="0"/>
                <w:bCs w:val="0"/>
                <w:color w:val="auto"/>
                <w:sz w:val="24"/>
                <w:vertAlign w:val="baseline"/>
              </w:rPr>
            </w:pPr>
            <w:r>
              <w:rPr>
                <w:rFonts w:hint="eastAsia" w:ascii="宋体" w:hAnsi="宋体" w:cs="宋体"/>
                <w:b w:val="0"/>
                <w:bCs w:val="0"/>
                <w:color w:val="auto"/>
                <w:sz w:val="24"/>
                <w:vertAlign w:val="baseline"/>
                <w:lang w:val="en-US" w:eastAsia="zh-CN"/>
              </w:rPr>
              <w:t>大量文字录入（万字）</w:t>
            </w:r>
          </w:p>
        </w:tc>
        <w:tc>
          <w:tcPr>
            <w:tcW w:w="2903" w:type="dxa"/>
          </w:tcPr>
          <w:p w14:paraId="310EDBAE">
            <w:pPr>
              <w:keepNext w:val="0"/>
              <w:keepLines w:val="0"/>
              <w:pageBreakBefore w:val="0"/>
              <w:kinsoku/>
              <w:overflowPunct/>
              <w:topLinePunct w:val="0"/>
              <w:bidi w:val="0"/>
              <w:spacing w:line="240" w:lineRule="auto"/>
              <w:rPr>
                <w:rFonts w:hint="eastAsia" w:ascii="宋体" w:hAnsi="宋体" w:cs="宋体"/>
                <w:b w:val="0"/>
                <w:bCs w:val="0"/>
                <w:color w:val="auto"/>
                <w:sz w:val="24"/>
                <w:vertAlign w:val="baseline"/>
              </w:rPr>
            </w:pPr>
          </w:p>
        </w:tc>
        <w:tc>
          <w:tcPr>
            <w:tcW w:w="2646" w:type="dxa"/>
          </w:tcPr>
          <w:p w14:paraId="4319DBA1">
            <w:pPr>
              <w:keepNext w:val="0"/>
              <w:keepLines w:val="0"/>
              <w:pageBreakBefore w:val="0"/>
              <w:kinsoku/>
              <w:overflowPunct/>
              <w:topLinePunct w:val="0"/>
              <w:bidi w:val="0"/>
              <w:spacing w:line="240" w:lineRule="auto"/>
              <w:rPr>
                <w:rFonts w:hint="eastAsia" w:ascii="宋体" w:hAnsi="宋体" w:cs="宋体"/>
                <w:b w:val="0"/>
                <w:bCs w:val="0"/>
                <w:color w:val="auto"/>
                <w:sz w:val="24"/>
                <w:vertAlign w:val="baseline"/>
              </w:rPr>
            </w:pPr>
          </w:p>
        </w:tc>
      </w:tr>
    </w:tbl>
    <w:p w14:paraId="5C279965">
      <w:pPr>
        <w:keepNext w:val="0"/>
        <w:keepLines w:val="0"/>
        <w:pageBreakBefore w:val="0"/>
        <w:kinsoku/>
        <w:overflowPunct/>
        <w:topLinePunct w:val="0"/>
        <w:bidi w:val="0"/>
        <w:spacing w:line="240" w:lineRule="auto"/>
        <w:rPr>
          <w:rFonts w:hint="eastAsia" w:ascii="宋体" w:hAnsi="宋体" w:cs="宋体"/>
          <w:b/>
          <w:bCs/>
          <w:color w:val="auto"/>
          <w:sz w:val="24"/>
        </w:rPr>
      </w:pPr>
      <w:r>
        <w:rPr>
          <w:rFonts w:hint="eastAsia"/>
          <w:lang w:val="en-US" w:eastAsia="zh-CN"/>
        </w:rPr>
        <w:t>备注：以所有单项报价总和进行最低价确认</w:t>
      </w:r>
    </w:p>
    <w:p w14:paraId="5ED8B14C">
      <w:pPr>
        <w:rPr>
          <w:rFonts w:hint="default"/>
          <w:lang w:val="en-US" w:eastAsia="zh-CN"/>
        </w:rPr>
        <w:sectPr>
          <w:pgSz w:w="11906" w:h="16838"/>
          <w:pgMar w:top="1440" w:right="1800" w:bottom="1440" w:left="1800" w:header="851" w:footer="992" w:gutter="0"/>
          <w:cols w:space="425" w:num="1"/>
          <w:docGrid w:type="lines" w:linePitch="312" w:charSpace="0"/>
        </w:sectPr>
      </w:pPr>
    </w:p>
    <w:p w14:paraId="0577EAF5">
      <w:pPr>
        <w:pStyle w:val="4"/>
        <w:jc w:val="both"/>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附件2.政府采购投标及履约承诺函</w:t>
      </w:r>
    </w:p>
    <w:p w14:paraId="2C7CD562">
      <w:pPr>
        <w:rPr>
          <w:rFonts w:hint="eastAsia"/>
          <w:lang w:val="en-US" w:eastAsia="zh-CN"/>
        </w:rPr>
      </w:pPr>
    </w:p>
    <w:p w14:paraId="3E903600">
      <w:pPr>
        <w:spacing w:line="560" w:lineRule="exact"/>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政府采购投标及履约承诺函</w:t>
      </w:r>
    </w:p>
    <w:p w14:paraId="4F150C20">
      <w:pPr>
        <w:spacing w:line="460" w:lineRule="exact"/>
        <w:jc w:val="left"/>
        <w:rPr>
          <w:rFonts w:hint="eastAsia" w:ascii="宋体" w:hAnsi="宋体"/>
          <w:b/>
          <w:color w:val="000000"/>
          <w:sz w:val="32"/>
          <w:szCs w:val="32"/>
        </w:rPr>
      </w:pPr>
    </w:p>
    <w:p w14:paraId="270D007E">
      <w:pPr>
        <w:spacing w:line="460" w:lineRule="exact"/>
        <w:jc w:val="left"/>
        <w:rPr>
          <w:color w:val="000000"/>
          <w:sz w:val="28"/>
          <w:szCs w:val="28"/>
        </w:rPr>
      </w:pPr>
      <w:r>
        <w:rPr>
          <w:rFonts w:hint="eastAsia"/>
          <w:color w:val="000000"/>
          <w:sz w:val="28"/>
          <w:szCs w:val="28"/>
          <w:lang w:val="en-US" w:eastAsia="zh-CN"/>
        </w:rPr>
        <w:t>深圳市规划国土发展研究中心</w:t>
      </w:r>
      <w:r>
        <w:rPr>
          <w:rFonts w:hint="eastAsia"/>
          <w:color w:val="000000"/>
          <w:sz w:val="28"/>
          <w:szCs w:val="28"/>
        </w:rPr>
        <w:t>：</w:t>
      </w:r>
    </w:p>
    <w:p w14:paraId="75DA4FBB">
      <w:pPr>
        <w:spacing w:line="460" w:lineRule="exact"/>
        <w:ind w:firstLine="560" w:firstLineChars="200"/>
        <w:rPr>
          <w:color w:val="000000"/>
          <w:sz w:val="28"/>
          <w:szCs w:val="28"/>
        </w:rPr>
      </w:pPr>
      <w:r>
        <w:rPr>
          <w:rFonts w:hint="eastAsia"/>
          <w:color w:val="000000"/>
          <w:sz w:val="28"/>
          <w:szCs w:val="28"/>
        </w:rPr>
        <w:t>我</w:t>
      </w:r>
      <w:r>
        <w:rPr>
          <w:rFonts w:hint="eastAsia"/>
          <w:color w:val="000000"/>
          <w:sz w:val="28"/>
          <w:szCs w:val="28"/>
          <w:lang w:val="en-US" w:eastAsia="zh-CN"/>
        </w:rPr>
        <w:t>公司</w:t>
      </w:r>
      <w:r>
        <w:rPr>
          <w:rFonts w:hint="eastAsia"/>
          <w:color w:val="000000"/>
          <w:sz w:val="28"/>
          <w:szCs w:val="28"/>
        </w:rPr>
        <w:t>深知本项目对贵</w:t>
      </w:r>
      <w:r>
        <w:rPr>
          <w:rFonts w:hint="eastAsia"/>
          <w:color w:val="000000"/>
          <w:sz w:val="28"/>
          <w:szCs w:val="28"/>
          <w:lang w:val="en-US" w:eastAsia="zh-CN"/>
        </w:rPr>
        <w:t>中心</w:t>
      </w:r>
      <w:r>
        <w:rPr>
          <w:rFonts w:hint="eastAsia"/>
          <w:color w:val="000000"/>
          <w:sz w:val="28"/>
          <w:szCs w:val="28"/>
        </w:rPr>
        <w:t>的重要性和紧迫性，亦了解贵</w:t>
      </w:r>
      <w:r>
        <w:rPr>
          <w:rFonts w:hint="eastAsia"/>
          <w:color w:val="000000"/>
          <w:sz w:val="28"/>
          <w:szCs w:val="28"/>
          <w:lang w:val="en-US" w:eastAsia="zh-CN"/>
        </w:rPr>
        <w:t>中心</w:t>
      </w:r>
      <w:r>
        <w:rPr>
          <w:rFonts w:hint="eastAsia"/>
          <w:color w:val="000000"/>
          <w:sz w:val="28"/>
          <w:szCs w:val="28"/>
        </w:rPr>
        <w:t>对廉政建设的相关要求，因此我</w:t>
      </w:r>
      <w:r>
        <w:rPr>
          <w:rFonts w:hint="eastAsia"/>
          <w:color w:val="000000"/>
          <w:sz w:val="28"/>
          <w:szCs w:val="28"/>
          <w:lang w:eastAsia="zh-CN"/>
        </w:rPr>
        <w:t>公司</w:t>
      </w:r>
      <w:r>
        <w:rPr>
          <w:rFonts w:hint="eastAsia"/>
          <w:color w:val="000000"/>
          <w:sz w:val="28"/>
          <w:szCs w:val="28"/>
        </w:rPr>
        <w:t>承诺如下：</w:t>
      </w:r>
    </w:p>
    <w:p w14:paraId="0E1F1951">
      <w:pPr>
        <w:spacing w:line="460" w:lineRule="exact"/>
        <w:ind w:firstLine="560" w:firstLineChars="200"/>
        <w:rPr>
          <w:color w:val="000000"/>
          <w:sz w:val="28"/>
          <w:szCs w:val="28"/>
        </w:rPr>
      </w:pPr>
      <w:r>
        <w:rPr>
          <w:rFonts w:hint="eastAsia"/>
          <w:color w:val="000000"/>
          <w:sz w:val="28"/>
          <w:szCs w:val="28"/>
        </w:rPr>
        <w:t>1.我</w:t>
      </w:r>
      <w:r>
        <w:rPr>
          <w:rFonts w:hint="eastAsia"/>
          <w:color w:val="000000"/>
          <w:sz w:val="28"/>
          <w:szCs w:val="28"/>
          <w:lang w:eastAsia="zh-CN"/>
        </w:rPr>
        <w:t>公司</w:t>
      </w:r>
      <w:r>
        <w:rPr>
          <w:rFonts w:hint="eastAsia"/>
          <w:color w:val="000000"/>
          <w:sz w:val="28"/>
          <w:szCs w:val="28"/>
        </w:rPr>
        <w:t>本招标项目所提供的货物或服务未侵犯知识产权。</w:t>
      </w:r>
    </w:p>
    <w:p w14:paraId="09ED8EAF">
      <w:pPr>
        <w:spacing w:line="460" w:lineRule="exact"/>
        <w:ind w:firstLine="560" w:firstLineChars="200"/>
        <w:rPr>
          <w:color w:val="000000"/>
          <w:sz w:val="28"/>
          <w:szCs w:val="28"/>
        </w:rPr>
      </w:pPr>
      <w:r>
        <w:rPr>
          <w:rFonts w:hint="eastAsia"/>
          <w:color w:val="000000"/>
          <w:sz w:val="28"/>
          <w:szCs w:val="28"/>
        </w:rPr>
        <w:t>2.我</w:t>
      </w:r>
      <w:r>
        <w:rPr>
          <w:rFonts w:hint="eastAsia"/>
          <w:color w:val="000000"/>
          <w:sz w:val="28"/>
          <w:szCs w:val="28"/>
          <w:lang w:eastAsia="zh-CN"/>
        </w:rPr>
        <w:t>公司</w:t>
      </w:r>
      <w:r>
        <w:rPr>
          <w:rFonts w:hint="eastAsia"/>
          <w:color w:val="000000"/>
          <w:sz w:val="28"/>
          <w:szCs w:val="28"/>
        </w:rPr>
        <w:t>参与本项目投标前三年内，在经营活动中没有违法记录。</w:t>
      </w:r>
    </w:p>
    <w:p w14:paraId="1DE82291">
      <w:pPr>
        <w:spacing w:line="460" w:lineRule="exact"/>
        <w:ind w:firstLine="560" w:firstLineChars="200"/>
        <w:rPr>
          <w:color w:val="000000"/>
          <w:sz w:val="28"/>
          <w:szCs w:val="28"/>
        </w:rPr>
      </w:pPr>
      <w:r>
        <w:rPr>
          <w:rFonts w:hint="eastAsia"/>
          <w:color w:val="000000"/>
          <w:sz w:val="28"/>
          <w:szCs w:val="28"/>
        </w:rPr>
        <w:t>3.我</w:t>
      </w:r>
      <w:r>
        <w:rPr>
          <w:rFonts w:hint="eastAsia"/>
          <w:color w:val="000000"/>
          <w:sz w:val="28"/>
          <w:szCs w:val="28"/>
          <w:lang w:eastAsia="zh-CN"/>
        </w:rPr>
        <w:t>公司</w:t>
      </w:r>
      <w:r>
        <w:rPr>
          <w:rFonts w:hint="eastAsia"/>
          <w:color w:val="000000"/>
          <w:sz w:val="28"/>
          <w:szCs w:val="28"/>
        </w:rPr>
        <w:t>参与本项目政府采购活动时不存在被有关部门禁止参与政府采购活动且在有效期内的情况。</w:t>
      </w:r>
    </w:p>
    <w:p w14:paraId="3467940F">
      <w:pPr>
        <w:spacing w:line="460" w:lineRule="exact"/>
        <w:ind w:firstLine="560" w:firstLineChars="200"/>
        <w:rPr>
          <w:color w:val="000000"/>
          <w:sz w:val="28"/>
          <w:szCs w:val="28"/>
        </w:rPr>
      </w:pPr>
      <w:r>
        <w:rPr>
          <w:rFonts w:hint="eastAsia"/>
          <w:color w:val="000000"/>
          <w:sz w:val="28"/>
          <w:szCs w:val="28"/>
        </w:rPr>
        <w:t>4.我</w:t>
      </w:r>
      <w:r>
        <w:rPr>
          <w:rFonts w:hint="eastAsia"/>
          <w:color w:val="000000"/>
          <w:sz w:val="28"/>
          <w:szCs w:val="28"/>
          <w:lang w:eastAsia="zh-CN"/>
        </w:rPr>
        <w:t>公司</w:t>
      </w:r>
      <w:r>
        <w:rPr>
          <w:rFonts w:hint="eastAsia"/>
          <w:color w:val="000000"/>
          <w:sz w:val="28"/>
          <w:szCs w:val="28"/>
        </w:rPr>
        <w:t>具备《中华人民共和国政府采购法》第二十二条第一款的条件。</w:t>
      </w:r>
    </w:p>
    <w:p w14:paraId="6A9A9833">
      <w:pPr>
        <w:spacing w:line="460" w:lineRule="exact"/>
        <w:ind w:firstLine="560" w:firstLineChars="200"/>
        <w:rPr>
          <w:color w:val="000000"/>
          <w:sz w:val="28"/>
          <w:szCs w:val="28"/>
        </w:rPr>
      </w:pPr>
      <w:r>
        <w:rPr>
          <w:rFonts w:hint="eastAsia"/>
          <w:color w:val="000000"/>
          <w:sz w:val="28"/>
          <w:szCs w:val="28"/>
        </w:rPr>
        <w:t>5.我</w:t>
      </w:r>
      <w:r>
        <w:rPr>
          <w:rFonts w:hint="eastAsia"/>
          <w:color w:val="000000"/>
          <w:sz w:val="28"/>
          <w:szCs w:val="28"/>
          <w:lang w:eastAsia="zh-CN"/>
        </w:rPr>
        <w:t>公司</w:t>
      </w:r>
      <w:r>
        <w:rPr>
          <w:rFonts w:hint="eastAsia"/>
          <w:color w:val="000000"/>
          <w:sz w:val="28"/>
          <w:szCs w:val="28"/>
        </w:rPr>
        <w:t>未被列入失信被执行人、税收违法案件当事人名单、政府采购严重违法失信行为记录名单。</w:t>
      </w:r>
    </w:p>
    <w:p w14:paraId="6ED6C9B4">
      <w:pPr>
        <w:spacing w:line="460" w:lineRule="exact"/>
        <w:ind w:firstLine="560" w:firstLineChars="200"/>
        <w:rPr>
          <w:color w:val="000000"/>
          <w:sz w:val="28"/>
          <w:szCs w:val="28"/>
        </w:rPr>
      </w:pPr>
      <w:r>
        <w:rPr>
          <w:rFonts w:hint="eastAsia"/>
          <w:color w:val="000000"/>
          <w:sz w:val="28"/>
          <w:szCs w:val="28"/>
        </w:rPr>
        <w:t>6.我</w:t>
      </w:r>
      <w:r>
        <w:rPr>
          <w:rFonts w:hint="eastAsia"/>
          <w:color w:val="000000"/>
          <w:sz w:val="28"/>
          <w:szCs w:val="28"/>
          <w:lang w:eastAsia="zh-CN"/>
        </w:rPr>
        <w:t>公司</w:t>
      </w:r>
      <w:r>
        <w:rPr>
          <w:rFonts w:hint="eastAsia"/>
          <w:color w:val="000000"/>
          <w:sz w:val="28"/>
          <w:szCs w:val="28"/>
        </w:rPr>
        <w:t>参与该项目投标，严格遵循公平竞争的原则，不恶意串通，不妨碍其他投标人的竞争行为，不损害采购人或者其他投标人的合法权益。我</w:t>
      </w:r>
      <w:r>
        <w:rPr>
          <w:rFonts w:hint="eastAsia"/>
          <w:color w:val="000000"/>
          <w:sz w:val="28"/>
          <w:szCs w:val="28"/>
          <w:lang w:eastAsia="zh-CN"/>
        </w:rPr>
        <w:t>公司</w:t>
      </w:r>
      <w:r>
        <w:rPr>
          <w:rFonts w:hint="eastAsia"/>
          <w:color w:val="000000"/>
          <w:sz w:val="28"/>
          <w:szCs w:val="28"/>
        </w:rPr>
        <w:t>已清楚，如违反上述要求，将作投标无效处理，并自动放弃贵处自本项目起所有采购项目的投标事宜。</w:t>
      </w:r>
    </w:p>
    <w:p w14:paraId="7B32772E">
      <w:pPr>
        <w:spacing w:line="460" w:lineRule="exact"/>
        <w:ind w:firstLine="560" w:firstLineChars="200"/>
        <w:rPr>
          <w:color w:val="000000"/>
          <w:sz w:val="28"/>
          <w:szCs w:val="28"/>
        </w:rPr>
      </w:pPr>
      <w:r>
        <w:rPr>
          <w:rFonts w:hint="eastAsia"/>
          <w:color w:val="000000"/>
          <w:sz w:val="28"/>
          <w:szCs w:val="28"/>
        </w:rPr>
        <w:t>7.我</w:t>
      </w:r>
      <w:r>
        <w:rPr>
          <w:rFonts w:hint="eastAsia"/>
          <w:color w:val="000000"/>
          <w:sz w:val="28"/>
          <w:szCs w:val="28"/>
          <w:lang w:eastAsia="zh-CN"/>
        </w:rPr>
        <w:t>公司</w:t>
      </w:r>
      <w:r>
        <w:rPr>
          <w:rFonts w:hint="eastAsia"/>
          <w:color w:val="000000"/>
          <w:sz w:val="28"/>
          <w:szCs w:val="28"/>
        </w:rPr>
        <w:t>如果中标，做到诚实守信，依照本项目招标文件需求内容、签署的采购合同及本</w:t>
      </w:r>
      <w:r>
        <w:rPr>
          <w:rFonts w:hint="eastAsia"/>
          <w:color w:val="000000"/>
          <w:sz w:val="28"/>
          <w:szCs w:val="28"/>
          <w:lang w:eastAsia="zh-CN"/>
        </w:rPr>
        <w:t>公司</w:t>
      </w:r>
      <w:r>
        <w:rPr>
          <w:rFonts w:hint="eastAsia"/>
          <w:color w:val="000000"/>
          <w:sz w:val="28"/>
          <w:szCs w:val="28"/>
        </w:rPr>
        <w:t>在投标中所作的一切承诺履约。</w:t>
      </w:r>
    </w:p>
    <w:p w14:paraId="1183A34E">
      <w:pPr>
        <w:spacing w:line="460" w:lineRule="exact"/>
        <w:ind w:firstLine="560" w:firstLineChars="200"/>
        <w:rPr>
          <w:color w:val="000000"/>
          <w:sz w:val="28"/>
          <w:szCs w:val="28"/>
        </w:rPr>
      </w:pPr>
      <w:r>
        <w:rPr>
          <w:rFonts w:hint="eastAsia"/>
          <w:color w:val="000000"/>
          <w:sz w:val="28"/>
          <w:szCs w:val="28"/>
        </w:rPr>
        <w:t>8.我</w:t>
      </w:r>
      <w:r>
        <w:rPr>
          <w:rFonts w:hint="eastAsia"/>
          <w:color w:val="000000"/>
          <w:sz w:val="28"/>
          <w:szCs w:val="28"/>
          <w:lang w:eastAsia="zh-CN"/>
        </w:rPr>
        <w:t>公司</w:t>
      </w:r>
      <w:r>
        <w:rPr>
          <w:rFonts w:hint="eastAsia"/>
          <w:color w:val="000000"/>
          <w:sz w:val="28"/>
          <w:szCs w:val="28"/>
        </w:rPr>
        <w:t>承诺本项目的报价不低于我</w:t>
      </w:r>
      <w:r>
        <w:rPr>
          <w:rFonts w:hint="eastAsia"/>
          <w:color w:val="000000"/>
          <w:sz w:val="28"/>
          <w:szCs w:val="28"/>
          <w:lang w:eastAsia="zh-CN"/>
        </w:rPr>
        <w:t>公司</w:t>
      </w:r>
      <w:r>
        <w:rPr>
          <w:rFonts w:hint="eastAsia"/>
          <w:color w:val="000000"/>
          <w:sz w:val="28"/>
          <w:szCs w:val="28"/>
        </w:rPr>
        <w:t>的成本价，不恶意低价谋取中标；对本项目的报价负责，中标后将严格按照本项目招标文件需求、签署的采购合同及我</w:t>
      </w:r>
      <w:r>
        <w:rPr>
          <w:rFonts w:hint="eastAsia"/>
          <w:color w:val="000000"/>
          <w:sz w:val="28"/>
          <w:szCs w:val="28"/>
          <w:lang w:eastAsia="zh-CN"/>
        </w:rPr>
        <w:t>公司</w:t>
      </w:r>
      <w:r>
        <w:rPr>
          <w:rFonts w:hint="eastAsia"/>
          <w:color w:val="000000"/>
          <w:sz w:val="28"/>
          <w:szCs w:val="28"/>
        </w:rPr>
        <w:t>在投标中所作的全部承诺履行。我</w:t>
      </w:r>
      <w:r>
        <w:rPr>
          <w:rFonts w:hint="eastAsia"/>
          <w:color w:val="000000"/>
          <w:sz w:val="28"/>
          <w:szCs w:val="28"/>
          <w:lang w:eastAsia="zh-CN"/>
        </w:rPr>
        <w:t>公司</w:t>
      </w:r>
      <w:r>
        <w:rPr>
          <w:rFonts w:hint="eastAsia"/>
          <w:color w:val="000000"/>
          <w:sz w:val="28"/>
          <w:szCs w:val="28"/>
        </w:rPr>
        <w:t>清楚，若我</w:t>
      </w:r>
      <w:r>
        <w:rPr>
          <w:rFonts w:hint="eastAsia"/>
          <w:color w:val="000000"/>
          <w:sz w:val="28"/>
          <w:szCs w:val="28"/>
          <w:lang w:eastAsia="zh-CN"/>
        </w:rPr>
        <w:t>公司</w:t>
      </w:r>
      <w:r>
        <w:rPr>
          <w:rFonts w:hint="eastAsia"/>
          <w:color w:val="000000"/>
          <w:sz w:val="28"/>
          <w:szCs w:val="28"/>
        </w:rPr>
        <w:t>以“报价太低而无法履约”为理由放弃本项目中标资格时，且愿意接受主管部门的处理处罚。若我</w:t>
      </w:r>
      <w:r>
        <w:rPr>
          <w:rFonts w:hint="eastAsia"/>
          <w:color w:val="000000"/>
          <w:sz w:val="28"/>
          <w:szCs w:val="28"/>
          <w:lang w:eastAsia="zh-CN"/>
        </w:rPr>
        <w:t>公司</w:t>
      </w:r>
      <w:r>
        <w:rPr>
          <w:rFonts w:hint="eastAsia"/>
          <w:color w:val="000000"/>
          <w:sz w:val="28"/>
          <w:szCs w:val="28"/>
        </w:rPr>
        <w:t>中标本项目，我</w:t>
      </w:r>
      <w:r>
        <w:rPr>
          <w:rFonts w:hint="eastAsia"/>
          <w:color w:val="000000"/>
          <w:sz w:val="28"/>
          <w:szCs w:val="28"/>
          <w:lang w:eastAsia="zh-CN"/>
        </w:rPr>
        <w:t>公司</w:t>
      </w:r>
      <w:r>
        <w:rPr>
          <w:rFonts w:hint="eastAsia"/>
          <w:color w:val="000000"/>
          <w:sz w:val="28"/>
          <w:szCs w:val="28"/>
        </w:rPr>
        <w:t>的报价明显低于其他投标人的报价时，我</w:t>
      </w:r>
      <w:r>
        <w:rPr>
          <w:rFonts w:hint="eastAsia"/>
          <w:color w:val="000000"/>
          <w:sz w:val="28"/>
          <w:szCs w:val="28"/>
          <w:lang w:eastAsia="zh-CN"/>
        </w:rPr>
        <w:t>公司</w:t>
      </w:r>
      <w:r>
        <w:rPr>
          <w:rFonts w:hint="eastAsia"/>
          <w:color w:val="000000"/>
          <w:sz w:val="28"/>
          <w:szCs w:val="28"/>
        </w:rPr>
        <w:t>清楚，本项目将成为重点监管、重点验收项目，我</w:t>
      </w:r>
      <w:r>
        <w:rPr>
          <w:rFonts w:hint="eastAsia"/>
          <w:color w:val="000000"/>
          <w:sz w:val="28"/>
          <w:szCs w:val="28"/>
          <w:lang w:eastAsia="zh-CN"/>
        </w:rPr>
        <w:t>公司</w:t>
      </w:r>
      <w:r>
        <w:rPr>
          <w:rFonts w:hint="eastAsia"/>
          <w:color w:val="000000"/>
          <w:sz w:val="28"/>
          <w:szCs w:val="28"/>
        </w:rPr>
        <w:t>将按时保质保量完成，并全力配合有关监管、验收工作；若我</w:t>
      </w:r>
      <w:r>
        <w:rPr>
          <w:rFonts w:hint="eastAsia"/>
          <w:color w:val="000000"/>
          <w:sz w:val="28"/>
          <w:szCs w:val="28"/>
          <w:lang w:eastAsia="zh-CN"/>
        </w:rPr>
        <w:t>公司</w:t>
      </w:r>
      <w:r>
        <w:rPr>
          <w:rFonts w:hint="eastAsia"/>
          <w:color w:val="000000"/>
          <w:sz w:val="28"/>
          <w:szCs w:val="28"/>
        </w:rPr>
        <w:t>未按上述要求履约，我</w:t>
      </w:r>
      <w:r>
        <w:rPr>
          <w:rFonts w:hint="eastAsia"/>
          <w:color w:val="000000"/>
          <w:sz w:val="28"/>
          <w:szCs w:val="28"/>
          <w:lang w:eastAsia="zh-CN"/>
        </w:rPr>
        <w:t>公司</w:t>
      </w:r>
      <w:r>
        <w:rPr>
          <w:rFonts w:hint="eastAsia"/>
          <w:color w:val="000000"/>
          <w:sz w:val="28"/>
          <w:szCs w:val="28"/>
        </w:rPr>
        <w:t>愿意接受主管部门的处理处罚。</w:t>
      </w:r>
    </w:p>
    <w:p w14:paraId="3FE08932">
      <w:pPr>
        <w:spacing w:line="460" w:lineRule="exact"/>
        <w:ind w:firstLine="560" w:firstLineChars="200"/>
        <w:rPr>
          <w:color w:val="000000"/>
          <w:sz w:val="28"/>
          <w:szCs w:val="28"/>
        </w:rPr>
      </w:pPr>
      <w:r>
        <w:rPr>
          <w:rFonts w:hint="eastAsia"/>
          <w:color w:val="000000"/>
          <w:sz w:val="28"/>
          <w:szCs w:val="28"/>
        </w:rPr>
        <w:t>9.我</w:t>
      </w:r>
      <w:r>
        <w:rPr>
          <w:rFonts w:hint="eastAsia"/>
          <w:color w:val="000000"/>
          <w:sz w:val="28"/>
          <w:szCs w:val="28"/>
          <w:lang w:eastAsia="zh-CN"/>
        </w:rPr>
        <w:t>公司</w:t>
      </w:r>
      <w:r>
        <w:rPr>
          <w:rFonts w:hint="eastAsia"/>
          <w:color w:val="000000"/>
          <w:sz w:val="28"/>
          <w:szCs w:val="28"/>
        </w:rPr>
        <w:t>已认真核实了投标文件的全部内容，所有资料均为真实资料。我</w:t>
      </w:r>
      <w:r>
        <w:rPr>
          <w:rFonts w:hint="eastAsia"/>
          <w:color w:val="000000"/>
          <w:sz w:val="28"/>
          <w:szCs w:val="28"/>
          <w:lang w:eastAsia="zh-CN"/>
        </w:rPr>
        <w:t>公司</w:t>
      </w:r>
      <w:r>
        <w:rPr>
          <w:rFonts w:hint="eastAsia"/>
          <w:color w:val="000000"/>
          <w:sz w:val="28"/>
          <w:szCs w:val="28"/>
        </w:rPr>
        <w:t>对投标文件中全部投标资料的真实性负责，如被证实我</w:t>
      </w:r>
      <w:r>
        <w:rPr>
          <w:rFonts w:hint="eastAsia"/>
          <w:color w:val="000000"/>
          <w:sz w:val="28"/>
          <w:szCs w:val="28"/>
          <w:lang w:eastAsia="zh-CN"/>
        </w:rPr>
        <w:t>公司</w:t>
      </w:r>
      <w:r>
        <w:rPr>
          <w:rFonts w:hint="eastAsia"/>
          <w:color w:val="000000"/>
          <w:sz w:val="28"/>
          <w:szCs w:val="28"/>
        </w:rPr>
        <w:t>的投标文件中存在虚假资料的，则视为我</w:t>
      </w:r>
      <w:r>
        <w:rPr>
          <w:rFonts w:hint="eastAsia"/>
          <w:color w:val="000000"/>
          <w:sz w:val="28"/>
          <w:szCs w:val="28"/>
          <w:lang w:eastAsia="zh-CN"/>
        </w:rPr>
        <w:t>公司</w:t>
      </w:r>
      <w:r>
        <w:rPr>
          <w:rFonts w:hint="eastAsia"/>
          <w:color w:val="000000"/>
          <w:sz w:val="28"/>
          <w:szCs w:val="28"/>
        </w:rPr>
        <w:t>隐瞒真实情况、提供虚假资料，我</w:t>
      </w:r>
      <w:r>
        <w:rPr>
          <w:rFonts w:hint="eastAsia"/>
          <w:color w:val="000000"/>
          <w:sz w:val="28"/>
          <w:szCs w:val="28"/>
          <w:lang w:eastAsia="zh-CN"/>
        </w:rPr>
        <w:t>公司</w:t>
      </w:r>
      <w:r>
        <w:rPr>
          <w:rFonts w:hint="eastAsia"/>
          <w:color w:val="000000"/>
          <w:sz w:val="28"/>
          <w:szCs w:val="28"/>
        </w:rPr>
        <w:t>愿意接受主管部门作出的行政处罚。</w:t>
      </w:r>
    </w:p>
    <w:p w14:paraId="33D59B5B">
      <w:pPr>
        <w:spacing w:line="460" w:lineRule="exact"/>
        <w:ind w:firstLine="560" w:firstLineChars="200"/>
        <w:rPr>
          <w:color w:val="000000"/>
          <w:sz w:val="28"/>
          <w:szCs w:val="28"/>
        </w:rPr>
      </w:pPr>
      <w:r>
        <w:rPr>
          <w:rFonts w:hint="eastAsia"/>
          <w:color w:val="000000"/>
          <w:sz w:val="28"/>
          <w:szCs w:val="28"/>
        </w:rPr>
        <w:t>10.我</w:t>
      </w:r>
      <w:r>
        <w:rPr>
          <w:rFonts w:hint="eastAsia"/>
          <w:color w:val="000000"/>
          <w:sz w:val="28"/>
          <w:szCs w:val="28"/>
          <w:lang w:eastAsia="zh-CN"/>
        </w:rPr>
        <w:t>公司</w:t>
      </w:r>
      <w:r>
        <w:rPr>
          <w:rFonts w:hint="eastAsia"/>
          <w:color w:val="000000"/>
          <w:sz w:val="28"/>
          <w:szCs w:val="28"/>
        </w:rPr>
        <w:t>承诺不非法转包、分包。</w:t>
      </w:r>
    </w:p>
    <w:p w14:paraId="701E3321">
      <w:pPr>
        <w:spacing w:line="460" w:lineRule="exact"/>
        <w:ind w:firstLine="560" w:firstLineChars="200"/>
        <w:rPr>
          <w:color w:val="000000"/>
          <w:sz w:val="28"/>
          <w:szCs w:val="28"/>
        </w:rPr>
      </w:pPr>
      <w:r>
        <w:rPr>
          <w:rFonts w:hint="eastAsia"/>
          <w:color w:val="000000"/>
          <w:sz w:val="28"/>
          <w:szCs w:val="28"/>
        </w:rPr>
        <w:t>11.我</w:t>
      </w:r>
      <w:r>
        <w:rPr>
          <w:rFonts w:hint="eastAsia"/>
          <w:color w:val="000000"/>
          <w:sz w:val="28"/>
          <w:szCs w:val="28"/>
          <w:lang w:eastAsia="zh-CN"/>
        </w:rPr>
        <w:t>公司</w:t>
      </w:r>
      <w:r>
        <w:rPr>
          <w:rFonts w:hint="eastAsia"/>
          <w:color w:val="000000"/>
          <w:sz w:val="28"/>
          <w:szCs w:val="28"/>
        </w:rPr>
        <w:t>承诺未参与本项目的采购需求、技术指标、商务指标等内容的设定，不存在对其他投标</w:t>
      </w:r>
      <w:r>
        <w:rPr>
          <w:rFonts w:hint="eastAsia"/>
          <w:color w:val="000000"/>
          <w:sz w:val="28"/>
          <w:szCs w:val="28"/>
          <w:lang w:eastAsia="zh-CN"/>
        </w:rPr>
        <w:t>公司</w:t>
      </w:r>
      <w:r>
        <w:rPr>
          <w:rFonts w:hint="eastAsia"/>
          <w:color w:val="000000"/>
          <w:sz w:val="28"/>
          <w:szCs w:val="28"/>
        </w:rPr>
        <w:t>不公平的行为。</w:t>
      </w:r>
    </w:p>
    <w:p w14:paraId="71A675A9">
      <w:pPr>
        <w:spacing w:line="460" w:lineRule="exact"/>
        <w:ind w:firstLine="560" w:firstLineChars="200"/>
        <w:rPr>
          <w:color w:val="000000"/>
          <w:sz w:val="28"/>
          <w:szCs w:val="28"/>
        </w:rPr>
      </w:pPr>
      <w:r>
        <w:rPr>
          <w:rFonts w:hint="eastAsia"/>
          <w:color w:val="000000"/>
          <w:sz w:val="28"/>
          <w:szCs w:val="28"/>
        </w:rPr>
        <w:t>11.我</w:t>
      </w:r>
      <w:r>
        <w:rPr>
          <w:rFonts w:hint="eastAsia"/>
          <w:color w:val="000000"/>
          <w:sz w:val="28"/>
          <w:szCs w:val="28"/>
          <w:lang w:eastAsia="zh-CN"/>
        </w:rPr>
        <w:t>公司</w:t>
      </w:r>
      <w:r>
        <w:rPr>
          <w:rFonts w:hint="eastAsia"/>
          <w:color w:val="000000"/>
          <w:sz w:val="28"/>
          <w:szCs w:val="28"/>
        </w:rPr>
        <w:t>承诺不对采购人进行贿赂，进行有偿报答。</w:t>
      </w:r>
    </w:p>
    <w:p w14:paraId="7378C947">
      <w:pPr>
        <w:spacing w:line="460" w:lineRule="exact"/>
        <w:ind w:firstLine="560" w:firstLineChars="200"/>
        <w:rPr>
          <w:color w:val="000000"/>
          <w:sz w:val="28"/>
          <w:szCs w:val="28"/>
        </w:rPr>
      </w:pPr>
      <w:r>
        <w:rPr>
          <w:rFonts w:hint="eastAsia"/>
          <w:color w:val="000000"/>
          <w:sz w:val="28"/>
          <w:szCs w:val="28"/>
        </w:rPr>
        <w:t>12.我</w:t>
      </w:r>
      <w:r>
        <w:rPr>
          <w:rFonts w:hint="eastAsia"/>
          <w:color w:val="000000"/>
          <w:sz w:val="28"/>
          <w:szCs w:val="28"/>
          <w:lang w:eastAsia="zh-CN"/>
        </w:rPr>
        <w:t>公司</w:t>
      </w:r>
      <w:r>
        <w:rPr>
          <w:rFonts w:hint="eastAsia"/>
          <w:color w:val="000000"/>
          <w:sz w:val="28"/>
          <w:szCs w:val="28"/>
        </w:rPr>
        <w:t>承诺不对采购人进行任何形式的利益输送。</w:t>
      </w:r>
    </w:p>
    <w:p w14:paraId="10040260">
      <w:pPr>
        <w:spacing w:line="460" w:lineRule="exact"/>
        <w:ind w:firstLine="560" w:firstLineChars="200"/>
        <w:rPr>
          <w:color w:val="000000"/>
          <w:sz w:val="28"/>
          <w:szCs w:val="28"/>
        </w:rPr>
      </w:pPr>
      <w:r>
        <w:rPr>
          <w:rFonts w:hint="eastAsia"/>
          <w:color w:val="000000"/>
          <w:sz w:val="28"/>
          <w:szCs w:val="28"/>
        </w:rPr>
        <w:t>13.我</w:t>
      </w:r>
      <w:r>
        <w:rPr>
          <w:rFonts w:hint="eastAsia"/>
          <w:color w:val="000000"/>
          <w:sz w:val="28"/>
          <w:szCs w:val="28"/>
          <w:lang w:eastAsia="zh-CN"/>
        </w:rPr>
        <w:t>公司</w:t>
      </w:r>
      <w:r>
        <w:rPr>
          <w:rFonts w:hint="eastAsia"/>
          <w:color w:val="000000"/>
          <w:sz w:val="28"/>
          <w:szCs w:val="28"/>
        </w:rPr>
        <w:t>承诺不对采购人进行宴请和娱乐等消费活动。</w:t>
      </w:r>
    </w:p>
    <w:p w14:paraId="2D01560F">
      <w:pPr>
        <w:spacing w:line="460" w:lineRule="exact"/>
        <w:ind w:firstLine="560" w:firstLineChars="200"/>
        <w:rPr>
          <w:color w:val="000000"/>
          <w:sz w:val="28"/>
          <w:szCs w:val="28"/>
        </w:rPr>
      </w:pPr>
      <w:r>
        <w:rPr>
          <w:rFonts w:hint="eastAsia"/>
          <w:color w:val="000000"/>
          <w:sz w:val="28"/>
          <w:szCs w:val="28"/>
        </w:rPr>
        <w:t>14.我</w:t>
      </w:r>
      <w:r>
        <w:rPr>
          <w:rFonts w:hint="eastAsia"/>
          <w:color w:val="000000"/>
          <w:sz w:val="28"/>
          <w:szCs w:val="28"/>
          <w:lang w:eastAsia="zh-CN"/>
        </w:rPr>
        <w:t>公司</w:t>
      </w:r>
      <w:r>
        <w:rPr>
          <w:rFonts w:hint="eastAsia"/>
          <w:color w:val="000000"/>
          <w:sz w:val="28"/>
          <w:szCs w:val="28"/>
        </w:rPr>
        <w:t>承诺不对采购人进行赠送各种礼品、现金、有价证券、中介费、好处费等行为。</w:t>
      </w:r>
    </w:p>
    <w:p w14:paraId="08472935">
      <w:pPr>
        <w:spacing w:line="460" w:lineRule="exact"/>
        <w:ind w:firstLine="560" w:firstLineChars="200"/>
        <w:rPr>
          <w:color w:val="000000"/>
          <w:sz w:val="28"/>
          <w:szCs w:val="28"/>
        </w:rPr>
      </w:pPr>
      <w:r>
        <w:rPr>
          <w:rFonts w:hint="eastAsia"/>
          <w:color w:val="000000"/>
          <w:sz w:val="28"/>
          <w:szCs w:val="28"/>
        </w:rPr>
        <w:t>以上承诺，如有违反，愿依照国家相关法律处理，并承担由此给采购人带来的损失。</w:t>
      </w:r>
    </w:p>
    <w:p w14:paraId="3F8F750D">
      <w:pPr>
        <w:spacing w:line="460" w:lineRule="exact"/>
        <w:ind w:firstLine="560" w:firstLineChars="200"/>
        <w:rPr>
          <w:rFonts w:hint="eastAsia"/>
          <w:color w:val="000000"/>
          <w:sz w:val="28"/>
          <w:szCs w:val="28"/>
        </w:rPr>
      </w:pPr>
    </w:p>
    <w:p w14:paraId="01222904">
      <w:pPr>
        <w:spacing w:line="460" w:lineRule="exact"/>
        <w:ind w:firstLine="560" w:firstLineChars="200"/>
        <w:rPr>
          <w:rFonts w:hint="eastAsia"/>
          <w:color w:val="000000"/>
          <w:sz w:val="28"/>
          <w:szCs w:val="28"/>
        </w:rPr>
      </w:pPr>
    </w:p>
    <w:p w14:paraId="5D998E82">
      <w:pPr>
        <w:spacing w:line="460" w:lineRule="exact"/>
        <w:ind w:firstLine="560" w:firstLineChars="200"/>
        <w:rPr>
          <w:color w:val="000000"/>
          <w:sz w:val="28"/>
          <w:szCs w:val="28"/>
        </w:rPr>
      </w:pPr>
    </w:p>
    <w:p w14:paraId="08078879">
      <w:pPr>
        <w:spacing w:line="460" w:lineRule="exact"/>
        <w:ind w:firstLine="560" w:firstLineChars="200"/>
        <w:rPr>
          <w:color w:val="000000"/>
          <w:sz w:val="28"/>
          <w:szCs w:val="28"/>
        </w:rPr>
      </w:pPr>
      <w:r>
        <w:rPr>
          <w:rFonts w:hint="eastAsia"/>
          <w:color w:val="000000"/>
          <w:sz w:val="28"/>
          <w:szCs w:val="28"/>
        </w:rPr>
        <w:t xml:space="preserve">                                    承诺</w:t>
      </w:r>
      <w:r>
        <w:rPr>
          <w:rFonts w:hint="eastAsia"/>
          <w:color w:val="000000"/>
          <w:sz w:val="28"/>
          <w:szCs w:val="28"/>
          <w:lang w:eastAsia="zh-CN"/>
        </w:rPr>
        <w:t>公司</w:t>
      </w:r>
      <w:r>
        <w:rPr>
          <w:rFonts w:hint="eastAsia"/>
          <w:color w:val="000000"/>
          <w:sz w:val="28"/>
          <w:szCs w:val="28"/>
        </w:rPr>
        <w:t>盖章：</w:t>
      </w:r>
    </w:p>
    <w:p w14:paraId="286D95E0">
      <w:pPr>
        <w:spacing w:line="460" w:lineRule="exact"/>
        <w:ind w:firstLine="560" w:firstLineChars="200"/>
        <w:rPr>
          <w:color w:val="000000"/>
          <w:sz w:val="24"/>
          <w:szCs w:val="20"/>
        </w:rPr>
      </w:pPr>
      <w:r>
        <w:rPr>
          <w:rFonts w:hint="eastAsia"/>
          <w:color w:val="000000"/>
          <w:sz w:val="28"/>
          <w:szCs w:val="28"/>
        </w:rPr>
        <w:t xml:space="preserve">                                       年   月   日</w:t>
      </w:r>
      <w:r>
        <w:rPr>
          <w:rFonts w:hint="eastAsia"/>
          <w:color w:val="000000"/>
          <w:sz w:val="24"/>
          <w:szCs w:val="20"/>
        </w:rPr>
        <w:t xml:space="preserve"> </w:t>
      </w:r>
    </w:p>
    <w:p w14:paraId="079EDADF">
      <w:pPr>
        <w:rPr>
          <w:rFonts w:hint="eastAsia"/>
          <w:lang w:val="en-US" w:eastAsia="zh-CN"/>
        </w:rPr>
      </w:pPr>
    </w:p>
    <w:p w14:paraId="0443BABD">
      <w:pPr>
        <w:pStyle w:val="10"/>
        <w:ind w:left="0" w:leftChars="0" w:firstLine="0" w:firstLineChars="0"/>
        <w:rPr>
          <w:rFonts w:hint="default"/>
          <w:lang w:val="en-US" w:eastAsia="zh-CN"/>
        </w:rPr>
        <w:sectPr>
          <w:pgSz w:w="11906" w:h="16838"/>
          <w:pgMar w:top="1440" w:right="1800" w:bottom="1440" w:left="1800" w:header="851" w:footer="992" w:gutter="0"/>
          <w:cols w:space="425" w:num="1"/>
          <w:docGrid w:type="lines" w:linePitch="312" w:charSpace="0"/>
        </w:sectPr>
      </w:pPr>
    </w:p>
    <w:p w14:paraId="0FB58B75">
      <w:pPr>
        <w:pStyle w:val="4"/>
        <w:jc w:val="both"/>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附件3.政府采购违法行为风险知悉确认书</w:t>
      </w:r>
    </w:p>
    <w:p w14:paraId="6278F2C9">
      <w:pPr>
        <w:rPr>
          <w:rFonts w:hint="default"/>
          <w:lang w:val="en-US" w:eastAsia="zh-CN"/>
        </w:rPr>
      </w:pPr>
    </w:p>
    <w:p w14:paraId="73B8DF78">
      <w:pPr>
        <w:autoSpaceDE w:val="0"/>
        <w:autoSpaceDN w:val="0"/>
        <w:adjustRightInd w:val="0"/>
        <w:spacing w:line="579" w:lineRule="exact"/>
        <w:jc w:val="center"/>
        <w:rPr>
          <w:rFonts w:hint="eastAsia" w:ascii="方正小标宋_GBK" w:hAnsi="方正小标宋_GBK" w:eastAsia="方正小标宋_GBK" w:cs="方正小标宋_GBK"/>
          <w:b w:val="0"/>
          <w:bCs w:val="0"/>
          <w:kern w:val="0"/>
          <w:sz w:val="44"/>
          <w:szCs w:val="44"/>
          <w:lang w:eastAsia="zh-CN"/>
        </w:rPr>
      </w:pPr>
      <w:r>
        <w:rPr>
          <w:rFonts w:hint="eastAsia" w:ascii="方正小标宋_GBK" w:hAnsi="方正小标宋_GBK" w:eastAsia="方正小标宋_GBK" w:cs="方正小标宋_GBK"/>
          <w:b w:val="0"/>
          <w:bCs w:val="0"/>
          <w:kern w:val="0"/>
          <w:sz w:val="44"/>
          <w:szCs w:val="44"/>
          <w:lang w:eastAsia="zh-CN"/>
        </w:rPr>
        <w:t>政府采购违法行为风险知悉确认书</w:t>
      </w:r>
    </w:p>
    <w:p w14:paraId="70C6B4C0">
      <w:pPr>
        <w:pStyle w:val="2"/>
        <w:rPr>
          <w:rFonts w:hint="eastAsia"/>
          <w:lang w:val="en-US" w:eastAsia="zh-CN"/>
        </w:rPr>
      </w:pPr>
    </w:p>
    <w:p w14:paraId="36D7ADE5">
      <w:pPr>
        <w:numPr>
          <w:ilvl w:val="0"/>
          <w:numId w:val="0"/>
        </w:numPr>
        <w:spacing w:line="579" w:lineRule="exact"/>
        <w:ind w:firstLine="560" w:firstLineChars="200"/>
        <w:rPr>
          <w:rFonts w:hint="eastAsia" w:ascii="仿宋_GB2312" w:hAnsi="仿宋_GB2312" w:eastAsia="仿宋_GB2312" w:cs="仿宋_GB2312"/>
          <w:b w:val="0"/>
          <w:bCs w:val="0"/>
          <w:kern w:val="0"/>
          <w:sz w:val="28"/>
          <w:szCs w:val="28"/>
          <w:lang w:eastAsia="zh-CN"/>
        </w:rPr>
      </w:pPr>
      <w:r>
        <w:rPr>
          <w:rFonts w:hint="eastAsia" w:ascii="仿宋_GB2312" w:hAnsi="仿宋_GB2312" w:eastAsia="仿宋_GB2312" w:cs="仿宋_GB2312"/>
          <w:b w:val="0"/>
          <w:bCs w:val="0"/>
          <w:sz w:val="28"/>
          <w:szCs w:val="28"/>
          <w:lang w:val="en-US" w:eastAsia="zh-CN"/>
        </w:rPr>
        <w:t>本公司在投标前已充分知悉以下情形为参与政府采购活动时的重大风险事项，并承诺已对下述风险提示事项重点排查，做到严谨、诚信、依法依规参与政府采购活动。</w:t>
      </w:r>
    </w:p>
    <w:p w14:paraId="48C4CD66">
      <w:pPr>
        <w:numPr>
          <w:ilvl w:val="0"/>
          <w:numId w:val="0"/>
        </w:numPr>
        <w:spacing w:line="579" w:lineRule="exact"/>
        <w:ind w:firstLine="562"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一、本公司已充分知悉“隐瞒真实情况，提供虚假</w:t>
      </w:r>
      <w:r>
        <w:rPr>
          <w:rFonts w:hint="eastAsia" w:ascii="仿宋_GB2312" w:hAnsi="仿宋_GB2312" w:eastAsia="仿宋_GB2312" w:cs="仿宋_GB2312"/>
          <w:b/>
          <w:bCs/>
          <w:sz w:val="28"/>
          <w:szCs w:val="28"/>
          <w:highlight w:val="none"/>
          <w:lang w:val="en-US" w:eastAsia="zh-CN"/>
        </w:rPr>
        <w:t>资料</w:t>
      </w:r>
      <w:r>
        <w:rPr>
          <w:rFonts w:hint="eastAsia" w:ascii="仿宋_GB2312" w:hAnsi="仿宋_GB2312" w:eastAsia="仿宋_GB2312" w:cs="仿宋_GB2312"/>
          <w:b/>
          <w:bCs/>
          <w:sz w:val="28"/>
          <w:szCs w:val="28"/>
          <w:lang w:val="en-US" w:eastAsia="zh-CN"/>
        </w:rPr>
        <w:t>”的法定情形，相关情形包括但不限于</w:t>
      </w:r>
      <w:r>
        <w:rPr>
          <w:rFonts w:hint="eastAsia" w:ascii="仿宋_GB2312" w:hAnsi="仿宋_GB2312" w:eastAsia="仿宋_GB2312" w:cs="仿宋_GB2312"/>
          <w:sz w:val="28"/>
          <w:szCs w:val="28"/>
          <w:lang w:val="en-US" w:eastAsia="zh-CN"/>
        </w:rPr>
        <w:t>：</w:t>
      </w:r>
    </w:p>
    <w:p w14:paraId="026E0AB7">
      <w:pPr>
        <w:numPr>
          <w:ilvl w:val="0"/>
          <w:numId w:val="0"/>
        </w:numPr>
        <w:spacing w:line="579"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（一）通过转让或者租借等方式从其他单位获取资格或者资质证书投标的。</w:t>
      </w:r>
    </w:p>
    <w:p w14:paraId="1DD58B4A">
      <w:pPr>
        <w:numPr>
          <w:ilvl w:val="0"/>
          <w:numId w:val="0"/>
        </w:numPr>
        <w:spacing w:line="579"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（二）由其他单位或者其他单位负责人在投标供应商编制的投标文件上加盖印章或者签字的。</w:t>
      </w:r>
    </w:p>
    <w:p w14:paraId="3D24A5A3">
      <w:pPr>
        <w:numPr>
          <w:ilvl w:val="0"/>
          <w:numId w:val="0"/>
        </w:numPr>
        <w:spacing w:line="579"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（三）项目负责人或者主要技术人员不是本单位人员的。</w:t>
      </w:r>
    </w:p>
    <w:p w14:paraId="2868ECCA">
      <w:pPr>
        <w:numPr>
          <w:ilvl w:val="0"/>
          <w:numId w:val="0"/>
        </w:numPr>
        <w:spacing w:line="579"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（四）投标保证金不是从投标供应商基本账户转出的。</w:t>
      </w:r>
    </w:p>
    <w:p w14:paraId="35FA0804">
      <w:pPr>
        <w:numPr>
          <w:ilvl w:val="0"/>
          <w:numId w:val="0"/>
        </w:numPr>
        <w:spacing w:line="579"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（五）其他隐瞒真实情况、提供虚假资料的行为。</w:t>
      </w:r>
    </w:p>
    <w:p w14:paraId="6218769A">
      <w:pPr>
        <w:numPr>
          <w:ilvl w:val="0"/>
          <w:numId w:val="0"/>
        </w:numPr>
        <w:spacing w:line="579" w:lineRule="exact"/>
        <w:ind w:firstLine="562"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二、本公司已充分知悉“与其他采购参加人串通投标”的法定情形，相关情形包括但不限于：</w:t>
      </w:r>
    </w:p>
    <w:p w14:paraId="46C9A215">
      <w:pPr>
        <w:numPr>
          <w:ilvl w:val="0"/>
          <w:numId w:val="0"/>
        </w:numPr>
        <w:spacing w:line="579"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（一）投标供应商之间相互约定给予未中标的供应商利益补偿。 </w:t>
      </w:r>
    </w:p>
    <w:p w14:paraId="5BC101D6">
      <w:pPr>
        <w:numPr>
          <w:ilvl w:val="0"/>
          <w:numId w:val="0"/>
        </w:numPr>
        <w:spacing w:line="579"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（二）不同投标供应商的法定代表人、主要经营负责人、项目投标授权代表人、项目负责人、主要技术人员为同一人、属同一单位或者在同一单位缴纳社会保险。</w:t>
      </w:r>
    </w:p>
    <w:p w14:paraId="6BC55F82">
      <w:pPr>
        <w:numPr>
          <w:ilvl w:val="0"/>
          <w:numId w:val="0"/>
        </w:numPr>
        <w:spacing w:line="579"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（三）不同投标供应商的投标文件由同一单位或者同一人编制，或者由同一人分阶段参与编制的。</w:t>
      </w:r>
    </w:p>
    <w:p w14:paraId="03CFD89B">
      <w:pPr>
        <w:numPr>
          <w:ilvl w:val="0"/>
          <w:numId w:val="0"/>
        </w:numPr>
        <w:spacing w:line="579"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（四）不同投标供应商的投标文件或部分投标文件相互混装。</w:t>
      </w:r>
    </w:p>
    <w:p w14:paraId="74210464">
      <w:pPr>
        <w:numPr>
          <w:ilvl w:val="0"/>
          <w:numId w:val="0"/>
        </w:numPr>
        <w:spacing w:line="579"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（五）不同投标供应商的投标文件内容存在非正常一致。</w:t>
      </w:r>
    </w:p>
    <w:p w14:paraId="66726778">
      <w:pPr>
        <w:numPr>
          <w:ilvl w:val="0"/>
          <w:numId w:val="0"/>
        </w:numPr>
        <w:spacing w:line="579"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（六）由同一单位工作人员为两家以上（含两家）供应商进行同一项投标活动的。</w:t>
      </w:r>
    </w:p>
    <w:p w14:paraId="06D326B9">
      <w:pPr>
        <w:numPr>
          <w:ilvl w:val="0"/>
          <w:numId w:val="0"/>
        </w:numPr>
        <w:spacing w:line="579"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b w:val="0"/>
          <w:bCs w:val="0"/>
          <w:sz w:val="28"/>
          <w:szCs w:val="28"/>
          <w:u w:val="none"/>
          <w:lang w:val="en-US" w:eastAsia="zh-CN"/>
        </w:rPr>
        <w:t>不同投标人的投标报价呈规律性差异。</w:t>
      </w:r>
    </w:p>
    <w:p w14:paraId="5D626DD6">
      <w:pPr>
        <w:numPr>
          <w:ilvl w:val="0"/>
          <w:numId w:val="0"/>
        </w:numPr>
        <w:spacing w:line="579"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b w:val="0"/>
          <w:bCs w:val="0"/>
          <w:sz w:val="28"/>
          <w:szCs w:val="28"/>
          <w:u w:val="none"/>
          <w:lang w:val="en-US" w:eastAsia="zh-CN"/>
        </w:rPr>
        <w:t>不同投标人的投标保证金从同一单位或者个人的账户转出。</w:t>
      </w:r>
    </w:p>
    <w:p w14:paraId="32F01740">
      <w:pPr>
        <w:numPr>
          <w:ilvl w:val="0"/>
          <w:numId w:val="0"/>
        </w:numPr>
        <w:spacing w:line="579"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（九）主管部门依照法律、法规认定的其他情形。</w:t>
      </w:r>
    </w:p>
    <w:p w14:paraId="69E123C7">
      <w:pPr>
        <w:numPr>
          <w:ilvl w:val="0"/>
          <w:numId w:val="0"/>
        </w:numPr>
        <w:spacing w:line="579" w:lineRule="exact"/>
        <w:ind w:firstLine="562" w:firstLineChars="200"/>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三、本公司已充分知悉下列情形所对应的法律风险，并在投标前已对相关风险事项进行排查。</w:t>
      </w:r>
    </w:p>
    <w:p w14:paraId="24B208AD">
      <w:pPr>
        <w:numPr>
          <w:ilvl w:val="0"/>
          <w:numId w:val="0"/>
        </w:numPr>
        <w:spacing w:line="579" w:lineRule="exact"/>
        <w:ind w:firstLine="560"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sz w:val="28"/>
          <w:szCs w:val="28"/>
          <w:lang w:val="en-US" w:eastAsia="zh-CN"/>
        </w:rPr>
        <w:t>（一）对于</w:t>
      </w:r>
      <w:r>
        <w:rPr>
          <w:rFonts w:hint="eastAsia" w:ascii="仿宋_GB2312" w:eastAsia="仿宋_GB2312"/>
          <w:sz w:val="28"/>
          <w:szCs w:val="28"/>
          <w:lang w:eastAsia="zh-CN"/>
        </w:rPr>
        <w:t>从</w:t>
      </w:r>
      <w:r>
        <w:rPr>
          <w:rFonts w:hint="eastAsia" w:ascii="仿宋_GB2312" w:hAnsi="仿宋_GB2312" w:eastAsia="仿宋_GB2312" w:cs="仿宋_GB2312"/>
          <w:sz w:val="28"/>
          <w:szCs w:val="28"/>
          <w:lang w:val="en-US" w:eastAsia="zh-CN"/>
        </w:rPr>
        <w:t>其他主体</w:t>
      </w:r>
      <w:r>
        <w:rPr>
          <w:rFonts w:hint="eastAsia" w:ascii="仿宋_GB2312" w:eastAsia="仿宋_GB2312"/>
          <w:sz w:val="28"/>
          <w:szCs w:val="28"/>
          <w:lang w:eastAsia="zh-CN"/>
        </w:rPr>
        <w:t>获取</w:t>
      </w:r>
      <w:r>
        <w:rPr>
          <w:rFonts w:hint="eastAsia" w:ascii="仿宋_GB2312" w:hAnsi="仿宋_GB2312" w:eastAsia="仿宋_GB2312" w:cs="仿宋_GB2312"/>
          <w:sz w:val="28"/>
          <w:szCs w:val="28"/>
          <w:lang w:val="en-US" w:eastAsia="zh-CN"/>
        </w:rPr>
        <w:t>的投标资料，供应商应审慎核查，确保投标资料的真实性。</w:t>
      </w:r>
      <w:r>
        <w:rPr>
          <w:rFonts w:hint="eastAsia" w:ascii="仿宋_GB2312" w:hAnsi="仿宋_GB2312" w:eastAsia="仿宋_GB2312" w:cs="仿宋_GB2312"/>
          <w:b/>
          <w:bCs/>
          <w:sz w:val="28"/>
          <w:szCs w:val="28"/>
          <w:lang w:val="en-US" w:eastAsia="zh-CN"/>
        </w:rPr>
        <w:t>如主管部门查实投标文件中存在虚假资料的，无论相关资料是否由第三方或本公司员工提供，均不影响主管部门对供应商存在“隐瞒真实情况，提供虚假资料”违法行为的认定。</w:t>
      </w:r>
    </w:p>
    <w:p w14:paraId="2D7F1BA4">
      <w:pPr>
        <w:numPr>
          <w:ilvl w:val="0"/>
          <w:numId w:val="0"/>
        </w:numPr>
        <w:spacing w:line="579"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14:paraId="692DC7D8">
      <w:pPr>
        <w:numPr>
          <w:ilvl w:val="0"/>
          <w:numId w:val="0"/>
        </w:numPr>
        <w:spacing w:line="579"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（三）对于涉及安全生产、特种作业、抢险救灾、防疫等政府采购项目，供应商实施提供虚假资料、串通投标等违法行为的，主管部门将依法从严处理。 </w:t>
      </w:r>
    </w:p>
    <w:p w14:paraId="61693425">
      <w:pPr>
        <w:numPr>
          <w:ilvl w:val="0"/>
          <w:numId w:val="0"/>
        </w:numPr>
        <w:spacing w:line="579"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（四）供应商应严格规范项目授权代表、员工参与招标投标的行为，加强对投标文件的审核。项目授权代表、员工</w:t>
      </w:r>
      <w:r>
        <w:rPr>
          <w:rFonts w:hint="eastAsia" w:ascii="仿宋_GB2312" w:eastAsia="仿宋_GB2312"/>
          <w:sz w:val="28"/>
          <w:szCs w:val="28"/>
          <w:lang w:eastAsia="zh-CN"/>
        </w:rPr>
        <w:t>编制、上传</w:t>
      </w:r>
      <w:r>
        <w:rPr>
          <w:rFonts w:hint="eastAsia" w:ascii="仿宋_GB2312" w:hAnsi="仿宋_GB2312" w:eastAsia="仿宋_GB2312" w:cs="仿宋_GB2312"/>
          <w:sz w:val="28"/>
          <w:szCs w:val="28"/>
          <w:lang w:val="en-US" w:eastAsia="zh-CN"/>
        </w:rPr>
        <w:t>投标文件</w:t>
      </w:r>
      <w:r>
        <w:rPr>
          <w:rFonts w:hint="eastAsia" w:ascii="仿宋_GB2312" w:eastAsia="仿宋_GB2312"/>
          <w:sz w:val="28"/>
          <w:szCs w:val="28"/>
          <w:lang w:eastAsia="zh-CN"/>
        </w:rPr>
        <w:t>等行为</w:t>
      </w:r>
      <w:r>
        <w:rPr>
          <w:rFonts w:hint="eastAsia" w:ascii="仿宋_GB2312" w:hAnsi="仿宋_GB2312" w:eastAsia="仿宋_GB2312" w:cs="仿宋_GB2312"/>
          <w:sz w:val="28"/>
          <w:szCs w:val="28"/>
          <w:lang w:val="en-US" w:eastAsia="zh-CN"/>
        </w:rPr>
        <w:t>违反政府采购法律法规或招标文件要求的，投标供应商应当依法承担相应法律责任。</w:t>
      </w:r>
    </w:p>
    <w:p w14:paraId="38B2C903">
      <w:pPr>
        <w:numPr>
          <w:ilvl w:val="0"/>
          <w:numId w:val="0"/>
        </w:numPr>
        <w:spacing w:line="579"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7AFEB3A5">
      <w:pPr>
        <w:numPr>
          <w:ilvl w:val="0"/>
          <w:numId w:val="0"/>
        </w:numPr>
        <w:spacing w:line="579" w:lineRule="exact"/>
        <w:ind w:firstLine="560" w:firstLineChars="200"/>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lang w:val="en-US" w:eastAsia="zh-CN"/>
        </w:rPr>
        <w:t>（六）</w:t>
      </w:r>
      <w:r>
        <w:rPr>
          <w:rFonts w:hint="eastAsia" w:ascii="仿宋_GB2312" w:hAnsi="仿宋_GB2312" w:eastAsia="仿宋_GB2312" w:cs="仿宋_GB2312"/>
          <w:b w:val="0"/>
          <w:bCs w:val="0"/>
          <w:sz w:val="28"/>
          <w:szCs w:val="28"/>
          <w:highlight w:val="none"/>
          <w:lang w:val="en-US" w:eastAsia="zh-CN"/>
        </w:rPr>
        <w:t>单位负责人为同一人或者存在直接控股、管理关系的不同供应商，不得参加同一合同项下的政府采购活动。相关情形</w:t>
      </w:r>
      <w:r>
        <w:rPr>
          <w:rFonts w:hint="eastAsia" w:ascii="仿宋_GB2312" w:eastAsia="仿宋_GB2312"/>
          <w:sz w:val="28"/>
          <w:szCs w:val="28"/>
          <w:lang w:eastAsia="zh-CN"/>
        </w:rPr>
        <w:t>如</w:t>
      </w:r>
      <w:r>
        <w:rPr>
          <w:rFonts w:hint="eastAsia" w:ascii="仿宋_GB2312" w:hAnsi="仿宋_GB2312" w:eastAsia="仿宋_GB2312" w:cs="仿宋_GB2312"/>
          <w:b w:val="0"/>
          <w:bCs w:val="0"/>
          <w:sz w:val="28"/>
          <w:szCs w:val="28"/>
          <w:highlight w:val="none"/>
          <w:lang w:val="en-US" w:eastAsia="zh-CN"/>
        </w:rPr>
        <w:t>查实，依法作投标无效处理；涉嫌串通投标等违法行为的，主管部门将依法调查处理。</w:t>
      </w:r>
    </w:p>
    <w:p w14:paraId="7AC724DF">
      <w:pPr>
        <w:numPr>
          <w:ilvl w:val="0"/>
          <w:numId w:val="0"/>
        </w:numPr>
        <w:spacing w:line="579" w:lineRule="exact"/>
        <w:ind w:firstLine="562"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highlight w:val="none"/>
          <w:lang w:val="en-US" w:eastAsia="zh-CN"/>
        </w:rPr>
        <w:t>四、本公司已充分知悉</w:t>
      </w:r>
      <w:r>
        <w:rPr>
          <w:rFonts w:hint="eastAsia" w:ascii="仿宋_GB2312" w:hAnsi="仿宋_GB2312" w:eastAsia="仿宋_GB2312" w:cs="仿宋_GB2312"/>
          <w:b/>
          <w:bCs/>
          <w:sz w:val="28"/>
          <w:szCs w:val="28"/>
          <w:highlight w:val="none"/>
          <w:u w:val="none"/>
          <w:lang w:val="en-US" w:eastAsia="zh-CN"/>
        </w:rPr>
        <w:t>政府采购违法、违规行为</w:t>
      </w:r>
      <w:r>
        <w:rPr>
          <w:rFonts w:hint="eastAsia" w:ascii="仿宋_GB2312" w:hAnsi="仿宋_GB2312" w:eastAsia="仿宋_GB2312" w:cs="仿宋_GB2312"/>
          <w:b/>
          <w:bCs/>
          <w:sz w:val="28"/>
          <w:szCs w:val="28"/>
          <w:highlight w:val="none"/>
          <w:lang w:val="en-US" w:eastAsia="zh-CN"/>
        </w:rPr>
        <w:t>的法律后果。</w:t>
      </w:r>
      <w:r>
        <w:rPr>
          <w:rFonts w:hint="eastAsia" w:ascii="仿宋_GB2312" w:hAnsi="仿宋_GB2312" w:eastAsia="仿宋_GB2312" w:cs="仿宋_GB2312"/>
          <w:sz w:val="28"/>
          <w:szCs w:val="28"/>
          <w:lang w:val="en-US" w:eastAsia="zh-CN"/>
        </w:rPr>
        <w:t>经查实，若投标供应商存在</w:t>
      </w:r>
      <w:r>
        <w:rPr>
          <w:rFonts w:hint="eastAsia" w:ascii="仿宋_GB2312" w:hAnsi="仿宋_GB2312" w:eastAsia="仿宋_GB2312" w:cs="仿宋_GB2312"/>
          <w:sz w:val="28"/>
          <w:szCs w:val="28"/>
          <w:u w:val="none"/>
          <w:lang w:val="en-US" w:eastAsia="zh-CN"/>
        </w:rPr>
        <w:t>政府采购违法、违规行为</w:t>
      </w:r>
      <w:r>
        <w:rPr>
          <w:rFonts w:hint="eastAsia" w:ascii="仿宋_GB2312" w:hAnsi="仿宋_GB2312" w:eastAsia="仿宋_GB2312" w:cs="仿宋_GB2312"/>
          <w:sz w:val="28"/>
          <w:szCs w:val="28"/>
          <w:lang w:val="en-US" w:eastAsia="zh-CN"/>
        </w:rPr>
        <w:t>，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5CC4DF47">
      <w:pPr>
        <w:numPr>
          <w:ilvl w:val="0"/>
          <w:numId w:val="0"/>
        </w:numPr>
        <w:spacing w:line="579"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以下文字请投标供应商抄写并确认：“本公司已仔细阅读《政府采购违法行为风险知悉确认书》，充分知悉违法行为的法律后果，并承诺将</w:t>
      </w:r>
      <w:r>
        <w:rPr>
          <w:rFonts w:hint="eastAsia" w:ascii="仿宋_GB2312" w:hAnsi="仿宋_GB2312" w:eastAsia="仿宋_GB2312" w:cs="仿宋_GB2312"/>
          <w:b w:val="0"/>
          <w:bCs w:val="0"/>
          <w:sz w:val="28"/>
          <w:szCs w:val="28"/>
          <w:lang w:val="en-US" w:eastAsia="zh-CN"/>
        </w:rPr>
        <w:t>严谨、诚信、依法依规参与政府采购活动</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b w:val="0"/>
          <w:bCs w:val="0"/>
          <w:sz w:val="28"/>
          <w:szCs w:val="28"/>
          <w:lang w:val="en-US" w:eastAsia="zh-CN"/>
        </w:rPr>
        <w:t>。</w:t>
      </w:r>
    </w:p>
    <w:p w14:paraId="052CC592">
      <w:pPr>
        <w:numPr>
          <w:ilvl w:val="0"/>
          <w:numId w:val="0"/>
        </w:numPr>
        <w:spacing w:line="579" w:lineRule="exac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u w:val="single"/>
          <w:lang w:val="en-US" w:eastAsia="zh-CN"/>
        </w:rPr>
        <w:t xml:space="preserve">                                                    </w:t>
      </w:r>
    </w:p>
    <w:p w14:paraId="5758E499">
      <w:pPr>
        <w:numPr>
          <w:ilvl w:val="0"/>
          <w:numId w:val="0"/>
        </w:numPr>
        <w:spacing w:line="579" w:lineRule="exact"/>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 xml:space="preserve">                                                    </w:t>
      </w:r>
    </w:p>
    <w:p w14:paraId="61CFA6DA">
      <w:pPr>
        <w:numPr>
          <w:ilvl w:val="0"/>
          <w:numId w:val="0"/>
        </w:numPr>
        <w:spacing w:line="579" w:lineRule="exac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u w:val="single"/>
          <w:lang w:val="en-US" w:eastAsia="zh-CN"/>
        </w:rPr>
        <w:t xml:space="preserve">                                                    </w:t>
      </w:r>
    </w:p>
    <w:p w14:paraId="60EB0153">
      <w:pPr>
        <w:numPr>
          <w:ilvl w:val="0"/>
          <w:numId w:val="0"/>
        </w:numPr>
        <w:spacing w:line="579"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负责人/投标授权代表签名：</w:t>
      </w:r>
    </w:p>
    <w:p w14:paraId="67645A4A">
      <w:pPr>
        <w:numPr>
          <w:ilvl w:val="0"/>
          <w:numId w:val="0"/>
        </w:numPr>
        <w:spacing w:line="579" w:lineRule="exact"/>
        <w:ind w:firstLine="2800" w:firstLineChars="10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知悉人（公章）：</w:t>
      </w:r>
    </w:p>
    <w:p w14:paraId="31CF75E5">
      <w:pPr>
        <w:spacing w:line="579" w:lineRule="exact"/>
        <w:rPr>
          <w:rFonts w:hint="default"/>
          <w:lang w:val="en-US" w:eastAsia="zh-CN"/>
        </w:rPr>
      </w:pPr>
      <w:r>
        <w:rPr>
          <w:rFonts w:hint="eastAsia" w:ascii="仿宋_GB2312" w:hAnsi="仿宋_GB2312" w:eastAsia="仿宋_GB2312" w:cs="仿宋_GB2312"/>
          <w:sz w:val="28"/>
          <w:szCs w:val="28"/>
          <w:lang w:val="en-US" w:eastAsia="zh-CN"/>
        </w:rPr>
        <w:t xml:space="preserve">                    日期：</w:t>
      </w:r>
    </w:p>
    <w:sectPr>
      <w:pgSz w:w="11906" w:h="16838"/>
      <w:pgMar w:top="1440" w:right="1800" w:bottom="14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CDC778"/>
    <w:multiLevelType w:val="singleLevel"/>
    <w:tmpl w:val="75CDC778"/>
    <w:lvl w:ilvl="0" w:tentative="0">
      <w:start w:val="1"/>
      <w:numFmt w:val="decimal"/>
      <w:suff w:val="nothing"/>
      <w:lvlText w:val="%1）"/>
      <w:lvlJc w:val="left"/>
    </w:lvl>
  </w:abstractNum>
  <w:abstractNum w:abstractNumId="1">
    <w:nsid w:val="77338AD8"/>
    <w:multiLevelType w:val="singleLevel"/>
    <w:tmpl w:val="77338AD8"/>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lYzRiOTM0ODUyZmViMTVjMTgzMjY0N2FmNmJjMjEifQ=="/>
  </w:docVars>
  <w:rsids>
    <w:rsidRoot w:val="00000000"/>
    <w:rsid w:val="002F3E6D"/>
    <w:rsid w:val="00DB1150"/>
    <w:rsid w:val="013478D6"/>
    <w:rsid w:val="01601171"/>
    <w:rsid w:val="03144AAA"/>
    <w:rsid w:val="0362649B"/>
    <w:rsid w:val="03F57E3D"/>
    <w:rsid w:val="04136A6A"/>
    <w:rsid w:val="041508D0"/>
    <w:rsid w:val="0497619C"/>
    <w:rsid w:val="05114539"/>
    <w:rsid w:val="055371AD"/>
    <w:rsid w:val="05EA0100"/>
    <w:rsid w:val="085C3B00"/>
    <w:rsid w:val="08AF1C38"/>
    <w:rsid w:val="09C572E1"/>
    <w:rsid w:val="09D72298"/>
    <w:rsid w:val="0A852FCB"/>
    <w:rsid w:val="0A911527"/>
    <w:rsid w:val="0AB7174D"/>
    <w:rsid w:val="0B4C387E"/>
    <w:rsid w:val="0BD0336D"/>
    <w:rsid w:val="0C22507E"/>
    <w:rsid w:val="0C933156"/>
    <w:rsid w:val="0CEF161D"/>
    <w:rsid w:val="0D1E735E"/>
    <w:rsid w:val="0D6B4803"/>
    <w:rsid w:val="0D6E67B3"/>
    <w:rsid w:val="0DB22432"/>
    <w:rsid w:val="0DB51104"/>
    <w:rsid w:val="0DC02782"/>
    <w:rsid w:val="0DF2395C"/>
    <w:rsid w:val="0E9E74DC"/>
    <w:rsid w:val="0EE8253D"/>
    <w:rsid w:val="0F9022FF"/>
    <w:rsid w:val="0FD0094D"/>
    <w:rsid w:val="0FD51559"/>
    <w:rsid w:val="10265A03"/>
    <w:rsid w:val="103C5979"/>
    <w:rsid w:val="107544DF"/>
    <w:rsid w:val="110D5DDC"/>
    <w:rsid w:val="11307256"/>
    <w:rsid w:val="114518FB"/>
    <w:rsid w:val="11AA55AF"/>
    <w:rsid w:val="11D37710"/>
    <w:rsid w:val="11D55D23"/>
    <w:rsid w:val="1205556B"/>
    <w:rsid w:val="133C1527"/>
    <w:rsid w:val="134F3D23"/>
    <w:rsid w:val="13D86825"/>
    <w:rsid w:val="14EA038B"/>
    <w:rsid w:val="154F219F"/>
    <w:rsid w:val="155A0E6F"/>
    <w:rsid w:val="15FE1119"/>
    <w:rsid w:val="16CA3D09"/>
    <w:rsid w:val="17272975"/>
    <w:rsid w:val="1768576F"/>
    <w:rsid w:val="178F4F78"/>
    <w:rsid w:val="180E41B0"/>
    <w:rsid w:val="18717313"/>
    <w:rsid w:val="189876A3"/>
    <w:rsid w:val="18B270A5"/>
    <w:rsid w:val="18DC2E13"/>
    <w:rsid w:val="19571697"/>
    <w:rsid w:val="1A1A6215"/>
    <w:rsid w:val="1B4B512D"/>
    <w:rsid w:val="1BA91D1F"/>
    <w:rsid w:val="1BAF77C1"/>
    <w:rsid w:val="1BD033C7"/>
    <w:rsid w:val="1CFD767C"/>
    <w:rsid w:val="1D5963F9"/>
    <w:rsid w:val="1D9A426C"/>
    <w:rsid w:val="1DCC6175"/>
    <w:rsid w:val="1E28696C"/>
    <w:rsid w:val="1E36138A"/>
    <w:rsid w:val="1E64016C"/>
    <w:rsid w:val="1EA359EE"/>
    <w:rsid w:val="1EB3092D"/>
    <w:rsid w:val="210364B0"/>
    <w:rsid w:val="21615B85"/>
    <w:rsid w:val="22176E8D"/>
    <w:rsid w:val="23450C50"/>
    <w:rsid w:val="248A182D"/>
    <w:rsid w:val="27CC0B6B"/>
    <w:rsid w:val="28704F05"/>
    <w:rsid w:val="28DA4EB4"/>
    <w:rsid w:val="28DA6190"/>
    <w:rsid w:val="29391EE8"/>
    <w:rsid w:val="2AA40C2E"/>
    <w:rsid w:val="2C0054FC"/>
    <w:rsid w:val="2CE421AD"/>
    <w:rsid w:val="2E695CEC"/>
    <w:rsid w:val="2E6E27EC"/>
    <w:rsid w:val="2EDD27D0"/>
    <w:rsid w:val="2F0E7B4C"/>
    <w:rsid w:val="30907EA6"/>
    <w:rsid w:val="3100725E"/>
    <w:rsid w:val="310D5554"/>
    <w:rsid w:val="31414970"/>
    <w:rsid w:val="31805E3B"/>
    <w:rsid w:val="3240689F"/>
    <w:rsid w:val="329B3F67"/>
    <w:rsid w:val="32CC7BD3"/>
    <w:rsid w:val="331D7624"/>
    <w:rsid w:val="33417F22"/>
    <w:rsid w:val="337B0818"/>
    <w:rsid w:val="34101EC5"/>
    <w:rsid w:val="345A6915"/>
    <w:rsid w:val="345C0B56"/>
    <w:rsid w:val="35104A37"/>
    <w:rsid w:val="36107D70"/>
    <w:rsid w:val="3619104D"/>
    <w:rsid w:val="37873C3B"/>
    <w:rsid w:val="37880101"/>
    <w:rsid w:val="38A129CC"/>
    <w:rsid w:val="38A337A9"/>
    <w:rsid w:val="38C3734D"/>
    <w:rsid w:val="38DF1F06"/>
    <w:rsid w:val="39E63587"/>
    <w:rsid w:val="3A981D12"/>
    <w:rsid w:val="3AF366B0"/>
    <w:rsid w:val="3CE27764"/>
    <w:rsid w:val="3CEB3FF0"/>
    <w:rsid w:val="3D504FBA"/>
    <w:rsid w:val="3DBA310F"/>
    <w:rsid w:val="3E997BF7"/>
    <w:rsid w:val="3F656A54"/>
    <w:rsid w:val="3FFE326C"/>
    <w:rsid w:val="40BB649C"/>
    <w:rsid w:val="410251B4"/>
    <w:rsid w:val="42FB5838"/>
    <w:rsid w:val="43A6747D"/>
    <w:rsid w:val="43B922DA"/>
    <w:rsid w:val="449D70A4"/>
    <w:rsid w:val="44F807A6"/>
    <w:rsid w:val="461C053C"/>
    <w:rsid w:val="4651010E"/>
    <w:rsid w:val="46B13AE8"/>
    <w:rsid w:val="48232BBA"/>
    <w:rsid w:val="48885284"/>
    <w:rsid w:val="489846CB"/>
    <w:rsid w:val="499260F4"/>
    <w:rsid w:val="4B0D31A3"/>
    <w:rsid w:val="4B247A42"/>
    <w:rsid w:val="4BB954E0"/>
    <w:rsid w:val="4BEB5741"/>
    <w:rsid w:val="4C5365C5"/>
    <w:rsid w:val="4C612DCA"/>
    <w:rsid w:val="4D0C0C35"/>
    <w:rsid w:val="4E026CC4"/>
    <w:rsid w:val="4E626543"/>
    <w:rsid w:val="4EE40448"/>
    <w:rsid w:val="4F4149CF"/>
    <w:rsid w:val="4F5533DE"/>
    <w:rsid w:val="4F656D2B"/>
    <w:rsid w:val="4F730D1A"/>
    <w:rsid w:val="4FED144B"/>
    <w:rsid w:val="50C80BF1"/>
    <w:rsid w:val="5160162A"/>
    <w:rsid w:val="51F61E26"/>
    <w:rsid w:val="546E719A"/>
    <w:rsid w:val="54A16E18"/>
    <w:rsid w:val="55772174"/>
    <w:rsid w:val="55851043"/>
    <w:rsid w:val="55853555"/>
    <w:rsid w:val="55E674E1"/>
    <w:rsid w:val="55EB7484"/>
    <w:rsid w:val="56262FA4"/>
    <w:rsid w:val="56552D68"/>
    <w:rsid w:val="568C6FD6"/>
    <w:rsid w:val="5718316A"/>
    <w:rsid w:val="573B6127"/>
    <w:rsid w:val="57562068"/>
    <w:rsid w:val="57C039E9"/>
    <w:rsid w:val="57E22788"/>
    <w:rsid w:val="58F40E06"/>
    <w:rsid w:val="591D2FC1"/>
    <w:rsid w:val="596B3487"/>
    <w:rsid w:val="5A0C724A"/>
    <w:rsid w:val="5AA370EC"/>
    <w:rsid w:val="5B184407"/>
    <w:rsid w:val="5BA20DE7"/>
    <w:rsid w:val="5BB76F5D"/>
    <w:rsid w:val="5D9C67F1"/>
    <w:rsid w:val="5DC7564A"/>
    <w:rsid w:val="5DED07CB"/>
    <w:rsid w:val="5E06536D"/>
    <w:rsid w:val="5EC76451"/>
    <w:rsid w:val="5F0C2B5E"/>
    <w:rsid w:val="5F68099E"/>
    <w:rsid w:val="5F87365B"/>
    <w:rsid w:val="5F8E176E"/>
    <w:rsid w:val="60A978B6"/>
    <w:rsid w:val="60EF66AC"/>
    <w:rsid w:val="617A7FB6"/>
    <w:rsid w:val="61A27090"/>
    <w:rsid w:val="61C16346"/>
    <w:rsid w:val="624D1966"/>
    <w:rsid w:val="6263145E"/>
    <w:rsid w:val="631F1346"/>
    <w:rsid w:val="632F349F"/>
    <w:rsid w:val="64145834"/>
    <w:rsid w:val="64DB30AC"/>
    <w:rsid w:val="64F9624E"/>
    <w:rsid w:val="65E914BC"/>
    <w:rsid w:val="6663111D"/>
    <w:rsid w:val="672A2D83"/>
    <w:rsid w:val="674B36CA"/>
    <w:rsid w:val="67C8073C"/>
    <w:rsid w:val="682053CD"/>
    <w:rsid w:val="684733A8"/>
    <w:rsid w:val="68997A2B"/>
    <w:rsid w:val="689E3D37"/>
    <w:rsid w:val="68CA231D"/>
    <w:rsid w:val="68CA4FF5"/>
    <w:rsid w:val="68D83501"/>
    <w:rsid w:val="68D85224"/>
    <w:rsid w:val="69B331BA"/>
    <w:rsid w:val="69F20031"/>
    <w:rsid w:val="6A0171F6"/>
    <w:rsid w:val="6A0815CE"/>
    <w:rsid w:val="6A500C82"/>
    <w:rsid w:val="6AA60E99"/>
    <w:rsid w:val="6AC66126"/>
    <w:rsid w:val="6AFA59F3"/>
    <w:rsid w:val="6B666E69"/>
    <w:rsid w:val="6C4555CE"/>
    <w:rsid w:val="6C5918FA"/>
    <w:rsid w:val="6CD04567"/>
    <w:rsid w:val="6CE80DA2"/>
    <w:rsid w:val="6D0F7B79"/>
    <w:rsid w:val="6D47374B"/>
    <w:rsid w:val="6EA27013"/>
    <w:rsid w:val="6F5A51B9"/>
    <w:rsid w:val="70097297"/>
    <w:rsid w:val="705D1477"/>
    <w:rsid w:val="70B10E06"/>
    <w:rsid w:val="70F875C9"/>
    <w:rsid w:val="71BB5551"/>
    <w:rsid w:val="725136CD"/>
    <w:rsid w:val="738046CF"/>
    <w:rsid w:val="73914E54"/>
    <w:rsid w:val="745C1D68"/>
    <w:rsid w:val="74A71A02"/>
    <w:rsid w:val="74DC4AE7"/>
    <w:rsid w:val="756B5E6B"/>
    <w:rsid w:val="75B9208C"/>
    <w:rsid w:val="75D02172"/>
    <w:rsid w:val="75DB7C01"/>
    <w:rsid w:val="7638505E"/>
    <w:rsid w:val="76656F82"/>
    <w:rsid w:val="77187668"/>
    <w:rsid w:val="780F0EEA"/>
    <w:rsid w:val="781E20FA"/>
    <w:rsid w:val="78E93476"/>
    <w:rsid w:val="7A7374F0"/>
    <w:rsid w:val="7B1B16E3"/>
    <w:rsid w:val="7B496E50"/>
    <w:rsid w:val="7BA916AF"/>
    <w:rsid w:val="7BB12E85"/>
    <w:rsid w:val="7D23314B"/>
    <w:rsid w:val="7D3833F7"/>
    <w:rsid w:val="7DF2575D"/>
    <w:rsid w:val="7E0C27E5"/>
    <w:rsid w:val="7E613C30"/>
    <w:rsid w:val="7E957BC8"/>
    <w:rsid w:val="7EFF5F9A"/>
    <w:rsid w:val="7FB17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szCs w:val="24"/>
    </w:rPr>
  </w:style>
  <w:style w:type="paragraph" w:styleId="3">
    <w:name w:val="Body Text"/>
    <w:basedOn w:val="1"/>
    <w:next w:val="4"/>
    <w:qFormat/>
    <w:uiPriority w:val="0"/>
    <w:pPr>
      <w:tabs>
        <w:tab w:val="left" w:pos="5760"/>
      </w:tabs>
    </w:pPr>
    <w:rPr>
      <w:rFonts w:ascii="宋体" w:hAnsi="宋体"/>
      <w:sz w:val="28"/>
      <w:szCs w:val="20"/>
    </w:rPr>
  </w:style>
  <w:style w:type="paragraph" w:styleId="4">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5">
    <w:name w:val="footer"/>
    <w:basedOn w:val="1"/>
    <w:qFormat/>
    <w:uiPriority w:val="0"/>
    <w:pPr>
      <w:tabs>
        <w:tab w:val="center" w:pos="4153"/>
        <w:tab w:val="right" w:pos="8306"/>
      </w:tabs>
      <w:snapToGrid w:val="0"/>
      <w:jc w:val="left"/>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rPr>
      <w:rFonts w:cs="Times New Roman"/>
    </w:rPr>
  </w:style>
  <w:style w:type="paragraph" w:customStyle="1" w:styleId="10">
    <w:name w:val="文档正文"/>
    <w:qFormat/>
    <w:uiPriority w:val="99"/>
    <w:pPr>
      <w:widowControl w:val="0"/>
      <w:adjustRightInd w:val="0"/>
      <w:spacing w:line="480" w:lineRule="atLeast"/>
      <w:ind w:firstLine="567" w:firstLineChars="200"/>
      <w:jc w:val="both"/>
      <w:textAlignment w:val="baseline"/>
    </w:pPr>
    <w:rPr>
      <w:rFonts w:ascii="长城仿宋" w:hAnsiTheme="minorHAnsi" w:eastAsiaTheme="minorEastAsia" w:cstheme="minorBidi"/>
      <w:kern w:val="0"/>
      <w:sz w:val="21"/>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1332</Words>
  <Characters>1357</Characters>
  <Lines>0</Lines>
  <Paragraphs>0</Paragraphs>
  <TotalTime>3</TotalTime>
  <ScaleCrop>false</ScaleCrop>
  <LinksUpToDate>false</LinksUpToDate>
  <CharactersWithSpaces>1365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2021-02-23T02:25:00Z</dcterms:created>
  <dc:creator>yuhuidp</dc:creator>
  <cp:lastModifiedBy>GM</cp:lastModifiedBy>
  <cp:lastPrinted>2024-11-18T01:57:00Z</cp:lastPrinted>
  <dcterms:modified xsi:type="dcterms:W3CDTF">2024-11-26T09:30:35Z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25BAFAA8B5464242B6C8098881FF3575_13</vt:lpwstr>
  </property>
</Properties>
</file>