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outlineLvl w:val="1"/>
        <w:rPr>
          <w:rFonts w:ascii="黑体" w:hAnsi="黑体" w:eastAsia="黑体" w:cs="黑体"/>
          <w:bCs/>
          <w:color w:val="auto"/>
          <w:sz w:val="32"/>
          <w:highlight w:val="none"/>
        </w:rPr>
      </w:pPr>
      <mc:AlternateContent>
        <mc:Choice Requires="wpsCustomData">
          <wpsCustomData:docfieldStart id="0" docfieldname="yincang" hidden="false" print="true" readonly="false" index="31"/>
        </mc:Choice>
      </mc:AlternateContent>
      <mc:AlternateContent>
        <mc:Choice Requires="wpsCustomData">
          <wpsCustomData:docfieldEnd id="0"/>
        </mc:Choice>
      </mc:AlternateContent>
      <w:r>
        <w:rPr>
          <w:rFonts w:hint="eastAsia" w:ascii="黑体" w:hAnsi="黑体" w:eastAsia="黑体" w:cs="黑体"/>
          <w:bCs/>
          <w:color w:val="auto"/>
          <w:sz w:val="32"/>
          <w:highlight w:val="none"/>
        </w:rPr>
        <w:t>附件3</w:t>
      </w:r>
    </w:p>
    <w:p>
      <w:pPr>
        <w:spacing w:line="56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设施农业用地协议</w:t>
      </w:r>
    </w:p>
    <w:p>
      <w:pPr>
        <w:spacing w:line="560" w:lineRule="exact"/>
        <w:jc w:val="center"/>
        <w:rPr>
          <w:rFonts w:ascii="仿宋_GB2312" w:hAnsi="仿宋_GB2312" w:eastAsia="仿宋_GB2312" w:cs="仿宋_GB2312"/>
          <w:color w:val="auto"/>
          <w:sz w:val="32"/>
          <w:szCs w:val="32"/>
          <w:highlight w:val="none"/>
        </w:rPr>
      </w:pPr>
    </w:p>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（参考格式）</w:t>
      </w:r>
    </w:p>
    <w:p>
      <w:pPr>
        <w:spacing w:line="560" w:lineRule="exact"/>
        <w:jc w:val="center"/>
        <w:rPr>
          <w:rFonts w:ascii="仿宋" w:hAnsi="仿宋" w:eastAsia="仿宋" w:cs="楷体"/>
          <w:color w:val="auto"/>
          <w:sz w:val="32"/>
          <w:szCs w:val="32"/>
          <w:highlight w:val="none"/>
        </w:rPr>
      </w:pPr>
    </w:p>
    <w:p>
      <w:pPr>
        <w:spacing w:line="560" w:lineRule="exact"/>
        <w:jc w:val="center"/>
        <w:rPr>
          <w:rFonts w:ascii="仿宋" w:hAnsi="仿宋" w:eastAsia="仿宋" w:cs="楷体"/>
          <w:color w:val="auto"/>
          <w:sz w:val="32"/>
          <w:szCs w:val="32"/>
          <w:highlight w:val="none"/>
        </w:rPr>
      </w:pPr>
    </w:p>
    <w:p>
      <w:pPr>
        <w:spacing w:line="560" w:lineRule="exact"/>
        <w:rPr>
          <w:rFonts w:ascii="仿宋" w:hAnsi="仿宋" w:eastAsia="仿宋" w:cs="楷体"/>
          <w:color w:val="auto"/>
          <w:sz w:val="32"/>
          <w:szCs w:val="32"/>
          <w:highlight w:val="none"/>
        </w:rPr>
      </w:pPr>
    </w:p>
    <w:p>
      <w:pPr>
        <w:spacing w:line="560" w:lineRule="exact"/>
        <w:rPr>
          <w:rFonts w:ascii="仿宋" w:hAnsi="仿宋" w:eastAsia="仿宋" w:cs="楷体"/>
          <w:color w:val="auto"/>
          <w:sz w:val="32"/>
          <w:szCs w:val="32"/>
          <w:highlight w:val="none"/>
        </w:rPr>
      </w:pPr>
    </w:p>
    <w:p>
      <w:pPr>
        <w:spacing w:line="560" w:lineRule="exact"/>
        <w:rPr>
          <w:rFonts w:ascii="仿宋" w:hAnsi="仿宋" w:eastAsia="仿宋" w:cs="楷体"/>
          <w:color w:val="auto"/>
          <w:sz w:val="32"/>
          <w:szCs w:val="32"/>
          <w:highlight w:val="none"/>
        </w:rPr>
      </w:pPr>
    </w:p>
    <w:p>
      <w:pPr>
        <w:spacing w:line="560" w:lineRule="exact"/>
        <w:rPr>
          <w:rFonts w:ascii="仿宋" w:hAnsi="仿宋" w:eastAsia="仿宋" w:cs="楷体"/>
          <w:color w:val="auto"/>
          <w:sz w:val="32"/>
          <w:szCs w:val="32"/>
          <w:highlight w:val="none"/>
        </w:rPr>
      </w:pPr>
    </w:p>
    <w:p>
      <w:pPr>
        <w:spacing w:line="560" w:lineRule="exact"/>
        <w:rPr>
          <w:rFonts w:ascii="仿宋" w:hAnsi="仿宋" w:eastAsia="仿宋" w:cs="楷体"/>
          <w:color w:val="auto"/>
          <w:sz w:val="32"/>
          <w:szCs w:val="32"/>
          <w:highlight w:val="none"/>
        </w:rPr>
      </w:pPr>
    </w:p>
    <w:p>
      <w:pPr>
        <w:spacing w:line="560" w:lineRule="exact"/>
        <w:rPr>
          <w:rFonts w:ascii="仿宋" w:hAnsi="仿宋" w:eastAsia="仿宋" w:cs="楷体"/>
          <w:color w:val="auto"/>
          <w:sz w:val="32"/>
          <w:szCs w:val="32"/>
          <w:highlight w:val="none"/>
        </w:rPr>
      </w:pPr>
    </w:p>
    <w:p>
      <w:pPr>
        <w:spacing w:line="560" w:lineRule="exact"/>
        <w:rPr>
          <w:rFonts w:ascii="仿宋" w:hAnsi="仿宋" w:eastAsia="仿宋" w:cs="楷体"/>
          <w:color w:val="auto"/>
          <w:sz w:val="32"/>
          <w:szCs w:val="32"/>
          <w:highlight w:val="none"/>
        </w:rPr>
      </w:pPr>
    </w:p>
    <w:p>
      <w:pPr>
        <w:spacing w:line="560" w:lineRule="exact"/>
        <w:rPr>
          <w:rFonts w:ascii="仿宋" w:hAnsi="仿宋" w:eastAsia="仿宋" w:cs="楷体"/>
          <w:color w:val="auto"/>
          <w:sz w:val="32"/>
          <w:szCs w:val="32"/>
          <w:highlight w:val="none"/>
        </w:rPr>
      </w:pPr>
    </w:p>
    <w:p>
      <w:pPr>
        <w:pStyle w:val="4"/>
        <w:spacing w:line="560" w:lineRule="exact"/>
        <w:rPr>
          <w:rFonts w:hint="default"/>
          <w:color w:val="auto"/>
          <w:highlight w:val="none"/>
        </w:rPr>
      </w:pPr>
    </w:p>
    <w:p>
      <w:pPr>
        <w:spacing w:line="560" w:lineRule="exact"/>
        <w:rPr>
          <w:rFonts w:ascii="仿宋" w:hAnsi="仿宋" w:eastAsia="仿宋" w:cs="楷体"/>
          <w:color w:val="auto"/>
          <w:sz w:val="32"/>
          <w:szCs w:val="32"/>
          <w:highlight w:val="none"/>
        </w:rPr>
      </w:pPr>
    </w:p>
    <w:p>
      <w:pPr>
        <w:spacing w:line="560" w:lineRule="exact"/>
        <w:rPr>
          <w:rFonts w:ascii="仿宋" w:hAnsi="仿宋" w:eastAsia="仿宋" w:cs="楷体"/>
          <w:color w:val="auto"/>
          <w:sz w:val="32"/>
          <w:szCs w:val="32"/>
          <w:highlight w:val="none"/>
        </w:rPr>
      </w:pPr>
    </w:p>
    <w:p>
      <w:pPr>
        <w:spacing w:line="560" w:lineRule="exact"/>
        <w:ind w:firstLine="320" w:firstLineChars="1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深圳市 ▁▁▁区▁▁ 街道▁▁社区</w:t>
      </w:r>
    </w:p>
    <w:p>
      <w:pPr>
        <w:spacing w:line="560" w:lineRule="exact"/>
        <w:ind w:firstLine="320" w:firstLineChars="100"/>
        <w:rPr>
          <w:rFonts w:ascii="仿宋_GB2312" w:hAnsi="仿宋_GB2312" w:eastAsia="仿宋_GB2312" w:cs="仿宋_GB2312"/>
          <w:color w:val="auto"/>
          <w:sz w:val="32"/>
          <w:szCs w:val="32"/>
          <w:highlight w:val="none"/>
        </w:rPr>
      </w:pPr>
    </w:p>
    <w:p>
      <w:pPr>
        <w:spacing w:line="560" w:lineRule="exact"/>
        <w:ind w:firstLine="320" w:firstLineChars="1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协议编号：</w:t>
      </w:r>
      <w:r>
        <w:rPr>
          <w:rFonts w:hint="eastAsia" w:ascii="仿宋_GB2312" w:hAnsi="仿宋_GB2312" w:eastAsia="仿宋_GB2312" w:cs="仿宋_GB2312"/>
          <w:color w:val="auto"/>
          <w:sz w:val="32"/>
          <w:szCs w:val="32"/>
          <w:highlight w:val="none"/>
          <w:u w:val="single"/>
        </w:rPr>
        <w:t xml:space="preserve">                                </w:t>
      </w:r>
    </w:p>
    <w:p>
      <w:pPr>
        <w:spacing w:line="560" w:lineRule="exact"/>
        <w:ind w:firstLine="320" w:firstLineChars="1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签订日期：</w:t>
      </w:r>
      <w:r>
        <w:rPr>
          <w:rFonts w:hint="eastAsia" w:ascii="仿宋_GB2312" w:hAnsi="仿宋_GB2312" w:eastAsia="仿宋_GB2312" w:cs="仿宋_GB2312"/>
          <w:color w:val="auto"/>
          <w:sz w:val="32"/>
          <w:szCs w:val="32"/>
          <w:highlight w:val="none"/>
          <w:u w:val="single"/>
        </w:rPr>
        <w:t xml:space="preserve">                                </w:t>
      </w:r>
    </w:p>
    <w:p>
      <w:pPr>
        <w:spacing w:line="560" w:lineRule="exact"/>
        <w:ind w:firstLine="321" w:firstLineChars="100"/>
        <w:rPr>
          <w:rFonts w:ascii="仿宋" w:hAnsi="仿宋" w:eastAsia="仿宋" w:cs="仿宋"/>
          <w:b/>
          <w:bCs/>
          <w:color w:val="auto"/>
          <w:sz w:val="32"/>
          <w:szCs w:val="32"/>
          <w:highlight w:val="none"/>
        </w:rPr>
      </w:pPr>
    </w:p>
    <w:p>
      <w:pPr>
        <w:spacing w:line="560" w:lineRule="exact"/>
        <w:ind w:firstLine="321" w:firstLineChars="100"/>
        <w:rPr>
          <w:rFonts w:ascii="仿宋" w:hAnsi="仿宋" w:eastAsia="仿宋" w:cs="仿宋"/>
          <w:b/>
          <w:bCs/>
          <w:color w:val="auto"/>
          <w:sz w:val="32"/>
          <w:szCs w:val="32"/>
          <w:highlight w:val="none"/>
        </w:rPr>
      </w:pPr>
    </w:p>
    <w:p>
      <w:pPr>
        <w:spacing w:line="560" w:lineRule="exact"/>
        <w:ind w:firstLine="321" w:firstLineChars="100"/>
        <w:rPr>
          <w:rFonts w:ascii="仿宋" w:hAnsi="仿宋" w:eastAsia="仿宋" w:cs="仿宋"/>
          <w:b/>
          <w:bCs/>
          <w:color w:val="auto"/>
          <w:sz w:val="32"/>
          <w:szCs w:val="32"/>
          <w:highlight w:val="none"/>
        </w:rPr>
      </w:pPr>
    </w:p>
    <w:p>
      <w:pPr>
        <w:pStyle w:val="4"/>
        <w:spacing w:line="560" w:lineRule="exact"/>
        <w:rPr>
          <w:rFonts w:hint="default" w:ascii="仿宋" w:hAnsi="仿宋" w:eastAsia="仿宋" w:cs="仿宋"/>
          <w:b/>
          <w:bCs/>
          <w:color w:val="auto"/>
          <w:sz w:val="32"/>
          <w:szCs w:val="32"/>
          <w:highlight w:val="none"/>
        </w:rPr>
      </w:pPr>
    </w:p>
    <w:p>
      <w:pPr>
        <w:spacing w:line="560" w:lineRule="exact"/>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val="en-US" w:eastAsia="zh-CN"/>
        </w:rPr>
        <w:t>农业</w:t>
      </w:r>
      <w:r>
        <w:rPr>
          <w:rFonts w:hint="eastAsia" w:ascii="仿宋_GB2312" w:hAnsi="仿宋_GB2312" w:eastAsia="仿宋_GB2312" w:cs="仿宋_GB2312"/>
          <w:color w:val="auto"/>
          <w:sz w:val="32"/>
          <w:szCs w:val="32"/>
          <w:highlight w:val="none"/>
        </w:rPr>
        <w:t>主管部门）</w:t>
      </w:r>
      <w:r>
        <w:rPr>
          <w:rFonts w:hint="eastAsia" w:ascii="仿宋_GB2312" w:hAnsi="仿宋_GB2312" w:eastAsia="仿宋_GB2312" w:cs="仿宋_GB2312"/>
          <w:color w:val="auto"/>
          <w:sz w:val="32"/>
          <w:szCs w:val="32"/>
          <w:highlight w:val="none"/>
          <w:u w:val="single"/>
        </w:rPr>
        <w:t xml:space="preserve">            </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组织机构代码:</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地址:</w:t>
      </w:r>
    </w:p>
    <w:p>
      <w:pPr>
        <w:spacing w:line="560" w:lineRule="exact"/>
        <w:ind w:firstLine="320" w:firstLineChars="100"/>
        <w:rPr>
          <w:rFonts w:ascii="仿宋_GB2312" w:hAnsi="仿宋_GB2312" w:eastAsia="仿宋_GB2312" w:cs="仿宋_GB2312"/>
          <w:color w:val="auto"/>
          <w:sz w:val="32"/>
          <w:szCs w:val="32"/>
          <w:highlight w:val="none"/>
        </w:rPr>
      </w:pP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 （</w:t>
      </w:r>
      <w:r>
        <w:rPr>
          <w:rFonts w:hint="eastAsia" w:ascii="仿宋_GB2312" w:hAnsi="仿宋_GB2312" w:eastAsia="仿宋_GB2312" w:cs="仿宋_GB2312"/>
          <w:color w:val="auto"/>
          <w:sz w:val="32"/>
          <w:szCs w:val="32"/>
          <w:highlight w:val="none"/>
          <w:lang w:val="en-US" w:eastAsia="zh-CN"/>
        </w:rPr>
        <w:t>原土地</w:t>
      </w:r>
      <w:r>
        <w:rPr>
          <w:rFonts w:hint="eastAsia" w:ascii="仿宋_GB2312" w:hAnsi="仿宋_GB2312" w:eastAsia="仿宋_GB2312" w:cs="仿宋_GB2312"/>
          <w:color w:val="auto"/>
          <w:sz w:val="32"/>
          <w:szCs w:val="32"/>
          <w:highlight w:val="none"/>
        </w:rPr>
        <w:t>出租方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如涉及</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组织机构代码:</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地址:</w:t>
      </w:r>
    </w:p>
    <w:p>
      <w:pPr>
        <w:spacing w:line="560" w:lineRule="exact"/>
        <w:rPr>
          <w:rFonts w:ascii="仿宋_GB2312" w:hAnsi="仿宋_GB2312" w:eastAsia="仿宋_GB2312" w:cs="仿宋_GB2312"/>
          <w:color w:val="auto"/>
          <w:sz w:val="32"/>
          <w:szCs w:val="32"/>
          <w:highlight w:val="none"/>
        </w:rPr>
      </w:pP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 （设施农业用地主体）</w:t>
      </w:r>
      <w:r>
        <w:rPr>
          <w:rFonts w:hint="eastAsia" w:ascii="仿宋_GB2312" w:hAnsi="仿宋_GB2312" w:eastAsia="仿宋_GB2312" w:cs="仿宋_GB2312"/>
          <w:color w:val="auto"/>
          <w:sz w:val="32"/>
          <w:szCs w:val="32"/>
          <w:highlight w:val="none"/>
          <w:u w:val="single"/>
        </w:rPr>
        <w:t xml:space="preserve">                     </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身份证号码（组织机构代码）:</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地址:</w:t>
      </w:r>
    </w:p>
    <w:p>
      <w:pPr>
        <w:spacing w:line="560" w:lineRule="exact"/>
        <w:rPr>
          <w:rFonts w:ascii="仿宋_GB2312" w:hAnsi="仿宋_GB2312" w:eastAsia="仿宋_GB2312" w:cs="仿宋_GB2312"/>
          <w:color w:val="auto"/>
          <w:sz w:val="32"/>
          <w:szCs w:val="32"/>
          <w:highlight w:val="none"/>
        </w:rPr>
      </w:pPr>
    </w:p>
    <w:p>
      <w:pPr>
        <w:spacing w:line="560" w:lineRule="exact"/>
        <w:ind w:firstLine="320" w:firstLineChars="100"/>
        <w:rPr>
          <w:rFonts w:ascii="仿宋_GB2312" w:hAnsi="仿宋_GB2312" w:eastAsia="仿宋_GB2312" w:cs="仿宋_GB2312"/>
          <w:color w:val="auto"/>
          <w:sz w:val="32"/>
          <w:szCs w:val="32"/>
          <w:highlight w:val="none"/>
        </w:rPr>
      </w:pP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为支持现代设施农业健康发展，维护当事人合法权益，根据《中华人民共和国合同法》《中华人民共和国土地管理法》《自然资源部 农业农村关于设施农业用地管理有关问题的通知》（自然资规〔2019〕4号）、</w:t>
      </w:r>
      <w:r>
        <w:rPr>
          <w:rFonts w:hint="eastAsia" w:ascii="仿宋_GB2312" w:hAnsi="仿宋_GB2312" w:eastAsia="仿宋_GB2312" w:cs="仿宋_GB2312"/>
          <w:color w:val="auto"/>
          <w:sz w:val="32"/>
          <w:szCs w:val="32"/>
          <w:highlight w:val="none"/>
          <w:lang w:bidi="ar"/>
        </w:rPr>
        <w:t>《自然资源部 农业农村部 国家林业和草原局关于严格耕地用途管制有关问题的通知》（自然资发〔2021〕166号）、</w:t>
      </w:r>
      <w:r>
        <w:rPr>
          <w:rFonts w:hint="eastAsia" w:ascii="仿宋_GB2312" w:hAnsi="仿宋_GB2312" w:eastAsia="仿宋_GB2312" w:cs="仿宋_GB2312"/>
          <w:color w:val="auto"/>
          <w:sz w:val="32"/>
          <w:szCs w:val="32"/>
          <w:highlight w:val="none"/>
        </w:rPr>
        <w:t>《广东省自然资源厅 广东省农业农村厅关于加强和改进设施农业用地管理的通知》（粤自然资规字〔2020〕7号）、</w:t>
      </w:r>
      <w:r>
        <w:rPr>
          <w:rFonts w:hint="eastAsia" w:ascii="仿宋_GB2312" w:hAnsi="仿宋_GB2312" w:eastAsia="仿宋_GB2312" w:cs="仿宋_GB2312"/>
          <w:color w:val="auto"/>
          <w:sz w:val="32"/>
          <w:szCs w:val="32"/>
          <w:highlight w:val="none"/>
          <w:lang w:bidi="ar"/>
        </w:rPr>
        <w:t>《广东省自然资源厅 广东省农业农村厅 广东省林业局关于严格耕地用途管制有关问题的通知》（粤自然资函〔2022〕434号）</w:t>
      </w:r>
      <w:r>
        <w:rPr>
          <w:rFonts w:hint="eastAsia" w:ascii="仿宋_GB2312" w:hAnsi="仿宋_GB2312" w:eastAsia="仿宋_GB2312" w:cs="仿宋_GB2312"/>
          <w:color w:val="auto"/>
          <w:sz w:val="32"/>
          <w:szCs w:val="32"/>
          <w:highlight w:val="none"/>
        </w:rPr>
        <w:t>等有关政策规定，经双方自愿平等协商同意订立本协议。</w:t>
      </w:r>
    </w:p>
    <w:p>
      <w:pPr>
        <w:spacing w:line="560" w:lineRule="exact"/>
        <w:ind w:firstLine="640" w:firstLineChars="200"/>
        <w:outlineLvl w:val="3"/>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第一条 设施农业项目基本情况</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设施农业项目名称：</w:t>
      </w:r>
      <w:r>
        <w:rPr>
          <w:rFonts w:hint="eastAsia" w:ascii="仿宋_GB2312" w:hAnsi="仿宋_GB2312" w:eastAsia="仿宋_GB2312" w:cs="仿宋_GB2312"/>
          <w:color w:val="auto"/>
          <w:sz w:val="32"/>
          <w:szCs w:val="32"/>
          <w:highlight w:val="none"/>
          <w:u w:val="single"/>
        </w:rPr>
        <w:t xml:space="preserve">                                    </w:t>
      </w:r>
    </w:p>
    <w:p>
      <w:pPr>
        <w:spacing w:line="560" w:lineRule="exact"/>
        <w:ind w:firstLine="640" w:firstLineChars="200"/>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项目用地面积：</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亩。</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项目用地坐落：</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。详见用地图1。</w:t>
      </w:r>
    </w:p>
    <w:p>
      <w:pPr>
        <w:spacing w:line="560" w:lineRule="exact"/>
        <w:ind w:firstLine="640" w:firstLineChars="200"/>
        <w:outlineLvl w:val="3"/>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第二条 设施农业用地情况</w:t>
      </w:r>
    </w:p>
    <w:p>
      <w:pPr>
        <w:spacing w:line="560" w:lineRule="exact"/>
        <w:ind w:firstLine="642"/>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将其位于</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的土地（四至为：东至</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，南至</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i/>
          <w:iCs/>
          <w:color w:val="auto"/>
          <w:sz w:val="32"/>
          <w:szCs w:val="32"/>
          <w:highlight w:val="none"/>
        </w:rPr>
        <w:t>，</w:t>
      </w:r>
      <w:r>
        <w:rPr>
          <w:rFonts w:hint="eastAsia" w:ascii="仿宋_GB2312" w:hAnsi="仿宋_GB2312" w:eastAsia="仿宋_GB2312" w:cs="仿宋_GB2312"/>
          <w:color w:val="auto"/>
          <w:sz w:val="32"/>
          <w:szCs w:val="32"/>
          <w:highlight w:val="none"/>
        </w:rPr>
        <w:t>西至</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，北至</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），共大写</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p>
    <w:p>
      <w:pPr>
        <w:spacing w:line="560" w:lineRule="exact"/>
        <w:ind w:firstLine="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亩（小写</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none"/>
        </w:rPr>
        <w:t>亩</w:t>
      </w:r>
      <w:r>
        <w:rPr>
          <w:rFonts w:hint="eastAsia" w:ascii="仿宋_GB2312" w:hAnsi="仿宋_GB2312" w:eastAsia="仿宋_GB2312" w:cs="仿宋_GB2312"/>
          <w:color w:val="auto"/>
          <w:sz w:val="32"/>
          <w:szCs w:val="32"/>
          <w:highlight w:val="none"/>
        </w:rPr>
        <w:t>）提供给乙方进行设施农业建设使用。设施农业用地坐标点位详见用地图2。</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用地期限从</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日起至</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日止。农业设施建设高度不超过</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米。</w:t>
      </w:r>
    </w:p>
    <w:p>
      <w:pPr>
        <w:spacing w:line="560" w:lineRule="exact"/>
        <w:ind w:firstLine="64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涉及永久基本农田</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一般</w:t>
      </w:r>
      <w:r>
        <w:rPr>
          <w:rFonts w:hint="eastAsia" w:ascii="仿宋_GB2312" w:hAnsi="仿宋_GB2312" w:eastAsia="仿宋_GB2312" w:cs="仿宋_GB2312"/>
          <w:color w:val="auto"/>
          <w:sz w:val="32"/>
          <w:szCs w:val="32"/>
          <w:highlight w:val="none"/>
        </w:rPr>
        <w:t>耕地</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lang w:val="en-US" w:eastAsia="zh-CN"/>
        </w:rPr>
        <w:t>亩</w:t>
      </w:r>
      <w:r>
        <w:rPr>
          <w:rFonts w:hint="eastAsia" w:ascii="仿宋_GB2312" w:hAnsi="仿宋_GB2312" w:eastAsia="仿宋_GB2312" w:cs="仿宋_GB2312"/>
          <w:color w:val="auto"/>
          <w:sz w:val="32"/>
          <w:szCs w:val="32"/>
          <w:highlight w:val="none"/>
        </w:rPr>
        <w:t>。</w:t>
      </w:r>
    </w:p>
    <w:p>
      <w:pPr>
        <w:spacing w:line="560" w:lineRule="exact"/>
        <w:ind w:firstLine="1616" w:firstLineChars="505"/>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设施农业用地涉及地类面积明细表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695"/>
        <w:gridCol w:w="1641"/>
        <w:gridCol w:w="725"/>
        <w:gridCol w:w="778"/>
        <w:gridCol w:w="776"/>
        <w:gridCol w:w="776"/>
        <w:gridCol w:w="776"/>
        <w:gridCol w:w="776"/>
        <w:gridCol w:w="777"/>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56" w:type="dxa"/>
            <w:vMerge w:val="restart"/>
            <w:noWrap w:val="0"/>
            <w:vAlign w:val="center"/>
          </w:tcPr>
          <w:p>
            <w:pPr>
              <w:spacing w:line="56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类型</w:t>
            </w:r>
          </w:p>
        </w:tc>
        <w:tc>
          <w:tcPr>
            <w:tcW w:w="695" w:type="dxa"/>
            <w:vMerge w:val="restart"/>
            <w:noWrap w:val="0"/>
            <w:vAlign w:val="center"/>
          </w:tcPr>
          <w:p>
            <w:pPr>
              <w:spacing w:line="56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用途</w:t>
            </w:r>
          </w:p>
        </w:tc>
        <w:tc>
          <w:tcPr>
            <w:tcW w:w="1641" w:type="dxa"/>
            <w:vMerge w:val="restart"/>
            <w:noWrap w:val="0"/>
            <w:vAlign w:val="center"/>
          </w:tcPr>
          <w:p>
            <w:pPr>
              <w:spacing w:line="56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使用永久基本农田面积（亩）</w:t>
            </w:r>
          </w:p>
        </w:tc>
        <w:tc>
          <w:tcPr>
            <w:tcW w:w="6181" w:type="dxa"/>
            <w:gridSpan w:val="8"/>
            <w:noWrap w:val="0"/>
            <w:vAlign w:val="top"/>
          </w:tcPr>
          <w:p>
            <w:pPr>
              <w:spacing w:line="56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设施农业用地原地类面积（亩）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56" w:type="dxa"/>
            <w:vMerge w:val="continue"/>
            <w:noWrap w:val="0"/>
            <w:vAlign w:val="center"/>
          </w:tcPr>
          <w:p>
            <w:pPr>
              <w:spacing w:line="560" w:lineRule="exact"/>
              <w:jc w:val="center"/>
              <w:rPr>
                <w:rFonts w:ascii="仿宋_GB2312" w:hAnsi="仿宋_GB2312" w:eastAsia="仿宋_GB2312" w:cs="仿宋_GB2312"/>
                <w:color w:val="auto"/>
                <w:sz w:val="28"/>
                <w:szCs w:val="28"/>
                <w:highlight w:val="none"/>
              </w:rPr>
            </w:pPr>
          </w:p>
        </w:tc>
        <w:tc>
          <w:tcPr>
            <w:tcW w:w="695" w:type="dxa"/>
            <w:vMerge w:val="continue"/>
            <w:noWrap w:val="0"/>
            <w:vAlign w:val="top"/>
          </w:tcPr>
          <w:p>
            <w:pPr>
              <w:spacing w:line="560" w:lineRule="exact"/>
              <w:rPr>
                <w:rFonts w:ascii="仿宋_GB2312" w:hAnsi="仿宋_GB2312" w:eastAsia="仿宋_GB2312" w:cs="仿宋_GB2312"/>
                <w:color w:val="auto"/>
                <w:sz w:val="28"/>
                <w:szCs w:val="28"/>
                <w:highlight w:val="none"/>
              </w:rPr>
            </w:pPr>
          </w:p>
        </w:tc>
        <w:tc>
          <w:tcPr>
            <w:tcW w:w="1641" w:type="dxa"/>
            <w:vMerge w:val="continue"/>
            <w:noWrap w:val="0"/>
            <w:vAlign w:val="top"/>
          </w:tcPr>
          <w:p>
            <w:pPr>
              <w:spacing w:line="560" w:lineRule="exact"/>
              <w:rPr>
                <w:rFonts w:ascii="仿宋_GB2312" w:hAnsi="仿宋_GB2312" w:eastAsia="仿宋_GB2312" w:cs="仿宋_GB2312"/>
                <w:color w:val="auto"/>
                <w:sz w:val="28"/>
                <w:szCs w:val="28"/>
                <w:highlight w:val="none"/>
              </w:rPr>
            </w:pPr>
          </w:p>
        </w:tc>
        <w:tc>
          <w:tcPr>
            <w:tcW w:w="1503" w:type="dxa"/>
            <w:gridSpan w:val="2"/>
            <w:tcBorders>
              <w:bottom w:val="nil"/>
            </w:tcBorders>
            <w:noWrap w:val="0"/>
            <w:vAlign w:val="top"/>
          </w:tcPr>
          <w:p>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耕  地</w:t>
            </w:r>
          </w:p>
        </w:tc>
        <w:tc>
          <w:tcPr>
            <w:tcW w:w="776" w:type="dxa"/>
            <w:vMerge w:val="restart"/>
            <w:noWrap w:val="0"/>
            <w:vAlign w:val="top"/>
          </w:tcPr>
          <w:p>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园地</w:t>
            </w:r>
          </w:p>
        </w:tc>
        <w:tc>
          <w:tcPr>
            <w:tcW w:w="776" w:type="dxa"/>
            <w:vMerge w:val="restart"/>
            <w:noWrap w:val="0"/>
            <w:vAlign w:val="top"/>
          </w:tcPr>
          <w:p>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林地</w:t>
            </w:r>
          </w:p>
        </w:tc>
        <w:tc>
          <w:tcPr>
            <w:tcW w:w="776" w:type="dxa"/>
            <w:vMerge w:val="restart"/>
            <w:noWrap w:val="0"/>
            <w:vAlign w:val="top"/>
          </w:tcPr>
          <w:p>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养殖坑塘</w:t>
            </w:r>
          </w:p>
        </w:tc>
        <w:tc>
          <w:tcPr>
            <w:tcW w:w="776" w:type="dxa"/>
            <w:vMerge w:val="restart"/>
            <w:noWrap w:val="0"/>
            <w:vAlign w:val="top"/>
          </w:tcPr>
          <w:p>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其他农用地</w:t>
            </w:r>
          </w:p>
        </w:tc>
        <w:tc>
          <w:tcPr>
            <w:tcW w:w="777" w:type="dxa"/>
            <w:vMerge w:val="restart"/>
            <w:noWrap w:val="0"/>
            <w:vAlign w:val="top"/>
          </w:tcPr>
          <w:p>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未利用地</w:t>
            </w:r>
          </w:p>
        </w:tc>
        <w:tc>
          <w:tcPr>
            <w:tcW w:w="797" w:type="dxa"/>
            <w:vMerge w:val="restart"/>
            <w:noWrap w:val="0"/>
            <w:vAlign w:val="top"/>
          </w:tcPr>
          <w:p>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建设用地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56" w:type="dxa"/>
            <w:vMerge w:val="continue"/>
            <w:noWrap w:val="0"/>
            <w:vAlign w:val="top"/>
          </w:tcPr>
          <w:p>
            <w:pPr>
              <w:spacing w:line="560" w:lineRule="exact"/>
              <w:rPr>
                <w:rFonts w:ascii="仿宋_GB2312" w:hAnsi="仿宋_GB2312" w:eastAsia="仿宋_GB2312" w:cs="仿宋_GB2312"/>
                <w:color w:val="auto"/>
                <w:sz w:val="28"/>
                <w:szCs w:val="28"/>
                <w:highlight w:val="none"/>
              </w:rPr>
            </w:pPr>
          </w:p>
        </w:tc>
        <w:tc>
          <w:tcPr>
            <w:tcW w:w="695" w:type="dxa"/>
            <w:vMerge w:val="continue"/>
            <w:noWrap w:val="0"/>
            <w:vAlign w:val="top"/>
          </w:tcPr>
          <w:p>
            <w:pPr>
              <w:spacing w:line="560" w:lineRule="exact"/>
              <w:rPr>
                <w:rFonts w:ascii="仿宋_GB2312" w:hAnsi="仿宋_GB2312" w:eastAsia="仿宋_GB2312" w:cs="仿宋_GB2312"/>
                <w:color w:val="auto"/>
                <w:sz w:val="28"/>
                <w:szCs w:val="28"/>
                <w:highlight w:val="none"/>
              </w:rPr>
            </w:pPr>
          </w:p>
        </w:tc>
        <w:tc>
          <w:tcPr>
            <w:tcW w:w="1641" w:type="dxa"/>
            <w:vMerge w:val="continue"/>
            <w:noWrap w:val="0"/>
            <w:vAlign w:val="top"/>
          </w:tcPr>
          <w:p>
            <w:pPr>
              <w:spacing w:line="560" w:lineRule="exact"/>
              <w:rPr>
                <w:rFonts w:ascii="仿宋_GB2312" w:hAnsi="仿宋_GB2312" w:eastAsia="仿宋_GB2312" w:cs="仿宋_GB2312"/>
                <w:color w:val="auto"/>
                <w:sz w:val="28"/>
                <w:szCs w:val="28"/>
                <w:highlight w:val="none"/>
              </w:rPr>
            </w:pPr>
          </w:p>
        </w:tc>
        <w:tc>
          <w:tcPr>
            <w:tcW w:w="725" w:type="dxa"/>
            <w:tcBorders>
              <w:top w:val="nil"/>
            </w:tcBorders>
            <w:noWrap w:val="0"/>
            <w:vAlign w:val="top"/>
          </w:tcPr>
          <w:p>
            <w:pPr>
              <w:spacing w:line="560" w:lineRule="exact"/>
              <w:rPr>
                <w:rFonts w:ascii="仿宋_GB2312" w:hAnsi="仿宋_GB2312" w:eastAsia="仿宋_GB2312" w:cs="仿宋_GB2312"/>
                <w:color w:val="auto"/>
                <w:sz w:val="28"/>
                <w:szCs w:val="28"/>
                <w:highlight w:val="none"/>
              </w:rPr>
            </w:pPr>
          </w:p>
        </w:tc>
        <w:tc>
          <w:tcPr>
            <w:tcW w:w="778" w:type="dxa"/>
            <w:noWrap w:val="0"/>
            <w:vAlign w:val="top"/>
          </w:tcPr>
          <w:p>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水田</w:t>
            </w:r>
          </w:p>
        </w:tc>
        <w:tc>
          <w:tcPr>
            <w:tcW w:w="776" w:type="dxa"/>
            <w:vMerge w:val="continue"/>
            <w:noWrap w:val="0"/>
            <w:vAlign w:val="top"/>
          </w:tcPr>
          <w:p>
            <w:pPr>
              <w:spacing w:line="560" w:lineRule="exact"/>
              <w:rPr>
                <w:rFonts w:ascii="仿宋_GB2312" w:hAnsi="仿宋_GB2312" w:eastAsia="仿宋_GB2312" w:cs="仿宋_GB2312"/>
                <w:color w:val="auto"/>
                <w:sz w:val="28"/>
                <w:szCs w:val="28"/>
                <w:highlight w:val="none"/>
              </w:rPr>
            </w:pPr>
          </w:p>
        </w:tc>
        <w:tc>
          <w:tcPr>
            <w:tcW w:w="776" w:type="dxa"/>
            <w:vMerge w:val="continue"/>
            <w:noWrap w:val="0"/>
            <w:vAlign w:val="top"/>
          </w:tcPr>
          <w:p>
            <w:pPr>
              <w:spacing w:line="560" w:lineRule="exact"/>
              <w:rPr>
                <w:rFonts w:ascii="仿宋_GB2312" w:hAnsi="仿宋_GB2312" w:eastAsia="仿宋_GB2312" w:cs="仿宋_GB2312"/>
                <w:color w:val="auto"/>
                <w:sz w:val="28"/>
                <w:szCs w:val="28"/>
                <w:highlight w:val="none"/>
              </w:rPr>
            </w:pPr>
          </w:p>
        </w:tc>
        <w:tc>
          <w:tcPr>
            <w:tcW w:w="776" w:type="dxa"/>
            <w:vMerge w:val="continue"/>
            <w:noWrap w:val="0"/>
            <w:vAlign w:val="top"/>
          </w:tcPr>
          <w:p>
            <w:pPr>
              <w:spacing w:line="560" w:lineRule="exact"/>
              <w:rPr>
                <w:rFonts w:ascii="仿宋_GB2312" w:hAnsi="仿宋_GB2312" w:eastAsia="仿宋_GB2312" w:cs="仿宋_GB2312"/>
                <w:color w:val="auto"/>
                <w:sz w:val="28"/>
                <w:szCs w:val="28"/>
                <w:highlight w:val="none"/>
              </w:rPr>
            </w:pPr>
          </w:p>
        </w:tc>
        <w:tc>
          <w:tcPr>
            <w:tcW w:w="776" w:type="dxa"/>
            <w:vMerge w:val="continue"/>
            <w:noWrap w:val="0"/>
            <w:vAlign w:val="top"/>
          </w:tcPr>
          <w:p>
            <w:pPr>
              <w:spacing w:line="560" w:lineRule="exact"/>
              <w:rPr>
                <w:rFonts w:ascii="仿宋_GB2312" w:hAnsi="仿宋_GB2312" w:eastAsia="仿宋_GB2312" w:cs="仿宋_GB2312"/>
                <w:color w:val="auto"/>
                <w:sz w:val="28"/>
                <w:szCs w:val="28"/>
                <w:highlight w:val="none"/>
              </w:rPr>
            </w:pPr>
          </w:p>
        </w:tc>
        <w:tc>
          <w:tcPr>
            <w:tcW w:w="777" w:type="dxa"/>
            <w:vMerge w:val="continue"/>
            <w:noWrap w:val="0"/>
            <w:vAlign w:val="top"/>
          </w:tcPr>
          <w:p>
            <w:pPr>
              <w:spacing w:line="560" w:lineRule="exact"/>
              <w:rPr>
                <w:rFonts w:ascii="仿宋_GB2312" w:hAnsi="仿宋_GB2312" w:eastAsia="仿宋_GB2312" w:cs="仿宋_GB2312"/>
                <w:color w:val="auto"/>
                <w:sz w:val="28"/>
                <w:szCs w:val="28"/>
                <w:highlight w:val="none"/>
              </w:rPr>
            </w:pPr>
          </w:p>
        </w:tc>
        <w:tc>
          <w:tcPr>
            <w:tcW w:w="797" w:type="dxa"/>
            <w:vMerge w:val="continue"/>
            <w:noWrap w:val="0"/>
            <w:vAlign w:val="top"/>
          </w:tcPr>
          <w:p>
            <w:pPr>
              <w:spacing w:line="560" w:lineRule="exact"/>
              <w:rPr>
                <w:rFonts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6" w:type="dxa"/>
            <w:noWrap w:val="0"/>
            <w:vAlign w:val="center"/>
          </w:tcPr>
          <w:p>
            <w:pPr>
              <w:spacing w:line="56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生产设施用地</w:t>
            </w:r>
          </w:p>
        </w:tc>
        <w:tc>
          <w:tcPr>
            <w:tcW w:w="695" w:type="dxa"/>
            <w:noWrap w:val="0"/>
            <w:vAlign w:val="top"/>
          </w:tcPr>
          <w:p>
            <w:pPr>
              <w:spacing w:line="560" w:lineRule="exact"/>
              <w:rPr>
                <w:rFonts w:ascii="仿宋_GB2312" w:hAnsi="仿宋_GB2312" w:eastAsia="仿宋_GB2312" w:cs="仿宋_GB2312"/>
                <w:color w:val="auto"/>
                <w:sz w:val="28"/>
                <w:szCs w:val="28"/>
                <w:highlight w:val="none"/>
              </w:rPr>
            </w:pPr>
          </w:p>
        </w:tc>
        <w:tc>
          <w:tcPr>
            <w:tcW w:w="1641" w:type="dxa"/>
            <w:noWrap w:val="0"/>
            <w:vAlign w:val="top"/>
          </w:tcPr>
          <w:p>
            <w:pPr>
              <w:spacing w:line="560" w:lineRule="exact"/>
              <w:rPr>
                <w:rFonts w:ascii="仿宋_GB2312" w:hAnsi="仿宋_GB2312" w:eastAsia="仿宋_GB2312" w:cs="仿宋_GB2312"/>
                <w:color w:val="auto"/>
                <w:sz w:val="28"/>
                <w:szCs w:val="28"/>
                <w:highlight w:val="none"/>
              </w:rPr>
            </w:pPr>
          </w:p>
        </w:tc>
        <w:tc>
          <w:tcPr>
            <w:tcW w:w="725" w:type="dxa"/>
            <w:noWrap w:val="0"/>
            <w:vAlign w:val="top"/>
          </w:tcPr>
          <w:p>
            <w:pPr>
              <w:spacing w:line="560" w:lineRule="exact"/>
              <w:rPr>
                <w:rFonts w:ascii="仿宋_GB2312" w:hAnsi="仿宋_GB2312" w:eastAsia="仿宋_GB2312" w:cs="仿宋_GB2312"/>
                <w:color w:val="auto"/>
                <w:sz w:val="28"/>
                <w:szCs w:val="28"/>
                <w:highlight w:val="none"/>
              </w:rPr>
            </w:pPr>
          </w:p>
        </w:tc>
        <w:tc>
          <w:tcPr>
            <w:tcW w:w="778" w:type="dxa"/>
            <w:noWrap w:val="0"/>
            <w:vAlign w:val="top"/>
          </w:tcPr>
          <w:p>
            <w:pPr>
              <w:spacing w:line="560" w:lineRule="exact"/>
              <w:rPr>
                <w:rFonts w:ascii="仿宋_GB2312" w:hAnsi="仿宋_GB2312" w:eastAsia="仿宋_GB2312" w:cs="仿宋_GB2312"/>
                <w:color w:val="auto"/>
                <w:sz w:val="28"/>
                <w:szCs w:val="28"/>
                <w:highlight w:val="none"/>
              </w:rPr>
            </w:pPr>
          </w:p>
        </w:tc>
        <w:tc>
          <w:tcPr>
            <w:tcW w:w="776" w:type="dxa"/>
            <w:noWrap w:val="0"/>
            <w:vAlign w:val="top"/>
          </w:tcPr>
          <w:p>
            <w:pPr>
              <w:spacing w:line="560" w:lineRule="exact"/>
              <w:rPr>
                <w:rFonts w:ascii="仿宋_GB2312" w:hAnsi="仿宋_GB2312" w:eastAsia="仿宋_GB2312" w:cs="仿宋_GB2312"/>
                <w:color w:val="auto"/>
                <w:sz w:val="28"/>
                <w:szCs w:val="28"/>
                <w:highlight w:val="none"/>
              </w:rPr>
            </w:pPr>
          </w:p>
        </w:tc>
        <w:tc>
          <w:tcPr>
            <w:tcW w:w="776" w:type="dxa"/>
            <w:noWrap w:val="0"/>
            <w:vAlign w:val="top"/>
          </w:tcPr>
          <w:p>
            <w:pPr>
              <w:spacing w:line="560" w:lineRule="exact"/>
              <w:rPr>
                <w:rFonts w:ascii="仿宋_GB2312" w:hAnsi="仿宋_GB2312" w:eastAsia="仿宋_GB2312" w:cs="仿宋_GB2312"/>
                <w:color w:val="auto"/>
                <w:sz w:val="28"/>
                <w:szCs w:val="28"/>
                <w:highlight w:val="none"/>
              </w:rPr>
            </w:pPr>
          </w:p>
        </w:tc>
        <w:tc>
          <w:tcPr>
            <w:tcW w:w="776" w:type="dxa"/>
            <w:noWrap w:val="0"/>
            <w:vAlign w:val="top"/>
          </w:tcPr>
          <w:p>
            <w:pPr>
              <w:spacing w:line="560" w:lineRule="exact"/>
              <w:rPr>
                <w:rFonts w:ascii="仿宋_GB2312" w:hAnsi="仿宋_GB2312" w:eastAsia="仿宋_GB2312" w:cs="仿宋_GB2312"/>
                <w:color w:val="auto"/>
                <w:sz w:val="28"/>
                <w:szCs w:val="28"/>
                <w:highlight w:val="none"/>
              </w:rPr>
            </w:pPr>
          </w:p>
        </w:tc>
        <w:tc>
          <w:tcPr>
            <w:tcW w:w="776" w:type="dxa"/>
            <w:noWrap w:val="0"/>
            <w:vAlign w:val="top"/>
          </w:tcPr>
          <w:p>
            <w:pPr>
              <w:spacing w:line="560" w:lineRule="exact"/>
              <w:rPr>
                <w:rFonts w:ascii="仿宋_GB2312" w:hAnsi="仿宋_GB2312" w:eastAsia="仿宋_GB2312" w:cs="仿宋_GB2312"/>
                <w:color w:val="auto"/>
                <w:sz w:val="28"/>
                <w:szCs w:val="28"/>
                <w:highlight w:val="none"/>
              </w:rPr>
            </w:pPr>
          </w:p>
        </w:tc>
        <w:tc>
          <w:tcPr>
            <w:tcW w:w="777" w:type="dxa"/>
            <w:noWrap w:val="0"/>
            <w:vAlign w:val="top"/>
          </w:tcPr>
          <w:p>
            <w:pPr>
              <w:spacing w:line="560" w:lineRule="exact"/>
              <w:rPr>
                <w:rFonts w:ascii="仿宋_GB2312" w:hAnsi="仿宋_GB2312" w:eastAsia="仿宋_GB2312" w:cs="仿宋_GB2312"/>
                <w:color w:val="auto"/>
                <w:sz w:val="28"/>
                <w:szCs w:val="28"/>
                <w:highlight w:val="none"/>
              </w:rPr>
            </w:pPr>
          </w:p>
        </w:tc>
        <w:tc>
          <w:tcPr>
            <w:tcW w:w="797" w:type="dxa"/>
            <w:noWrap w:val="0"/>
            <w:vAlign w:val="top"/>
          </w:tcPr>
          <w:p>
            <w:pPr>
              <w:spacing w:line="560" w:lineRule="exact"/>
              <w:rPr>
                <w:rFonts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6" w:type="dxa"/>
            <w:noWrap w:val="0"/>
            <w:vAlign w:val="center"/>
          </w:tcPr>
          <w:p>
            <w:pPr>
              <w:spacing w:line="56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辅助设施用地</w:t>
            </w:r>
          </w:p>
        </w:tc>
        <w:tc>
          <w:tcPr>
            <w:tcW w:w="695" w:type="dxa"/>
            <w:noWrap w:val="0"/>
            <w:vAlign w:val="top"/>
          </w:tcPr>
          <w:p>
            <w:pPr>
              <w:spacing w:line="560" w:lineRule="exact"/>
              <w:rPr>
                <w:rFonts w:ascii="仿宋_GB2312" w:hAnsi="仿宋_GB2312" w:eastAsia="仿宋_GB2312" w:cs="仿宋_GB2312"/>
                <w:color w:val="auto"/>
                <w:sz w:val="28"/>
                <w:szCs w:val="28"/>
                <w:highlight w:val="none"/>
              </w:rPr>
            </w:pPr>
          </w:p>
        </w:tc>
        <w:tc>
          <w:tcPr>
            <w:tcW w:w="1641" w:type="dxa"/>
            <w:noWrap w:val="0"/>
            <w:vAlign w:val="top"/>
          </w:tcPr>
          <w:p>
            <w:pPr>
              <w:spacing w:line="560" w:lineRule="exact"/>
              <w:rPr>
                <w:rFonts w:ascii="仿宋_GB2312" w:hAnsi="仿宋_GB2312" w:eastAsia="仿宋_GB2312" w:cs="仿宋_GB2312"/>
                <w:color w:val="auto"/>
                <w:sz w:val="28"/>
                <w:szCs w:val="28"/>
                <w:highlight w:val="none"/>
              </w:rPr>
            </w:pPr>
          </w:p>
        </w:tc>
        <w:tc>
          <w:tcPr>
            <w:tcW w:w="725" w:type="dxa"/>
            <w:noWrap w:val="0"/>
            <w:vAlign w:val="top"/>
          </w:tcPr>
          <w:p>
            <w:pPr>
              <w:spacing w:line="560" w:lineRule="exact"/>
              <w:rPr>
                <w:rFonts w:ascii="仿宋_GB2312" w:hAnsi="仿宋_GB2312" w:eastAsia="仿宋_GB2312" w:cs="仿宋_GB2312"/>
                <w:color w:val="auto"/>
                <w:sz w:val="28"/>
                <w:szCs w:val="28"/>
                <w:highlight w:val="none"/>
              </w:rPr>
            </w:pPr>
          </w:p>
        </w:tc>
        <w:tc>
          <w:tcPr>
            <w:tcW w:w="778" w:type="dxa"/>
            <w:noWrap w:val="0"/>
            <w:vAlign w:val="top"/>
          </w:tcPr>
          <w:p>
            <w:pPr>
              <w:spacing w:line="560" w:lineRule="exact"/>
              <w:rPr>
                <w:rFonts w:ascii="仿宋_GB2312" w:hAnsi="仿宋_GB2312" w:eastAsia="仿宋_GB2312" w:cs="仿宋_GB2312"/>
                <w:color w:val="auto"/>
                <w:sz w:val="28"/>
                <w:szCs w:val="28"/>
                <w:highlight w:val="none"/>
              </w:rPr>
            </w:pPr>
          </w:p>
        </w:tc>
        <w:tc>
          <w:tcPr>
            <w:tcW w:w="776" w:type="dxa"/>
            <w:noWrap w:val="0"/>
            <w:vAlign w:val="top"/>
          </w:tcPr>
          <w:p>
            <w:pPr>
              <w:spacing w:line="560" w:lineRule="exact"/>
              <w:rPr>
                <w:rFonts w:ascii="仿宋_GB2312" w:hAnsi="仿宋_GB2312" w:eastAsia="仿宋_GB2312" w:cs="仿宋_GB2312"/>
                <w:color w:val="auto"/>
                <w:sz w:val="28"/>
                <w:szCs w:val="28"/>
                <w:highlight w:val="none"/>
              </w:rPr>
            </w:pPr>
          </w:p>
        </w:tc>
        <w:tc>
          <w:tcPr>
            <w:tcW w:w="776" w:type="dxa"/>
            <w:noWrap w:val="0"/>
            <w:vAlign w:val="top"/>
          </w:tcPr>
          <w:p>
            <w:pPr>
              <w:spacing w:line="560" w:lineRule="exact"/>
              <w:rPr>
                <w:rFonts w:ascii="仿宋_GB2312" w:hAnsi="仿宋_GB2312" w:eastAsia="仿宋_GB2312" w:cs="仿宋_GB2312"/>
                <w:color w:val="auto"/>
                <w:sz w:val="28"/>
                <w:szCs w:val="28"/>
                <w:highlight w:val="none"/>
              </w:rPr>
            </w:pPr>
          </w:p>
        </w:tc>
        <w:tc>
          <w:tcPr>
            <w:tcW w:w="776" w:type="dxa"/>
            <w:noWrap w:val="0"/>
            <w:vAlign w:val="top"/>
          </w:tcPr>
          <w:p>
            <w:pPr>
              <w:spacing w:line="560" w:lineRule="exact"/>
              <w:rPr>
                <w:rFonts w:ascii="仿宋_GB2312" w:hAnsi="仿宋_GB2312" w:eastAsia="仿宋_GB2312" w:cs="仿宋_GB2312"/>
                <w:color w:val="auto"/>
                <w:sz w:val="28"/>
                <w:szCs w:val="28"/>
                <w:highlight w:val="none"/>
              </w:rPr>
            </w:pPr>
          </w:p>
        </w:tc>
        <w:tc>
          <w:tcPr>
            <w:tcW w:w="776" w:type="dxa"/>
            <w:noWrap w:val="0"/>
            <w:vAlign w:val="top"/>
          </w:tcPr>
          <w:p>
            <w:pPr>
              <w:spacing w:line="560" w:lineRule="exact"/>
              <w:rPr>
                <w:rFonts w:ascii="仿宋_GB2312" w:hAnsi="仿宋_GB2312" w:eastAsia="仿宋_GB2312" w:cs="仿宋_GB2312"/>
                <w:color w:val="auto"/>
                <w:sz w:val="28"/>
                <w:szCs w:val="28"/>
                <w:highlight w:val="none"/>
              </w:rPr>
            </w:pPr>
          </w:p>
        </w:tc>
        <w:tc>
          <w:tcPr>
            <w:tcW w:w="777" w:type="dxa"/>
            <w:noWrap w:val="0"/>
            <w:vAlign w:val="top"/>
          </w:tcPr>
          <w:p>
            <w:pPr>
              <w:spacing w:line="560" w:lineRule="exact"/>
              <w:rPr>
                <w:rFonts w:ascii="仿宋_GB2312" w:hAnsi="仿宋_GB2312" w:eastAsia="仿宋_GB2312" w:cs="仿宋_GB2312"/>
                <w:color w:val="auto"/>
                <w:sz w:val="28"/>
                <w:szCs w:val="28"/>
                <w:highlight w:val="none"/>
              </w:rPr>
            </w:pPr>
          </w:p>
        </w:tc>
        <w:tc>
          <w:tcPr>
            <w:tcW w:w="797" w:type="dxa"/>
            <w:noWrap w:val="0"/>
            <w:vAlign w:val="top"/>
          </w:tcPr>
          <w:p>
            <w:pPr>
              <w:spacing w:line="560" w:lineRule="exact"/>
              <w:rPr>
                <w:rFonts w:ascii="仿宋_GB2312" w:hAnsi="仿宋_GB2312" w:eastAsia="仿宋_GB2312" w:cs="仿宋_GB2312"/>
                <w:color w:val="auto"/>
                <w:sz w:val="28"/>
                <w:szCs w:val="28"/>
                <w:highlight w:val="none"/>
              </w:rPr>
            </w:pPr>
          </w:p>
        </w:tc>
      </w:tr>
    </w:tbl>
    <w:p>
      <w:pPr>
        <w:spacing w:line="560" w:lineRule="exact"/>
        <w:ind w:firstLine="642"/>
        <w:rPr>
          <w:rFonts w:ascii="仿宋_GB2312" w:hAnsi="仿宋_GB2312" w:eastAsia="仿宋_GB2312" w:cs="仿宋_GB2312"/>
          <w:color w:val="auto"/>
          <w:sz w:val="32"/>
          <w:szCs w:val="32"/>
          <w:highlight w:val="none"/>
        </w:rPr>
      </w:pPr>
    </w:p>
    <w:p>
      <w:pPr>
        <w:spacing w:line="560" w:lineRule="exact"/>
        <w:ind w:firstLine="640" w:firstLineChars="200"/>
        <w:outlineLvl w:val="3"/>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第三条 土地交付标准、支付款项及要求</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本协议签订之日，甲方</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将土地交付给乙方使用。乙方对本地块的现状无任何异议。自本协议签订之日，视为甲方</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已向乙方交付土地。</w:t>
      </w:r>
    </w:p>
    <w:p>
      <w:pPr>
        <w:spacing w:line="560" w:lineRule="exact"/>
        <w:ind w:firstLine="640"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lang w:val="en-US" w:eastAsia="zh-CN"/>
        </w:rPr>
        <w:t>乙方应于本协议签订之日前一次性向甲方一支付</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pPr>
        <w:spacing w:line="560" w:lineRule="exact"/>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元整（小写</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。支付</w:t>
      </w:r>
      <w:r>
        <w:rPr>
          <w:rFonts w:hint="eastAsia" w:ascii="仿宋_GB2312" w:hAnsi="仿宋_GB2312" w:eastAsia="仿宋_GB2312" w:cs="仿宋_GB2312"/>
          <w:color w:val="auto"/>
          <w:sz w:val="32"/>
          <w:szCs w:val="32"/>
          <w:highlight w:val="none"/>
        </w:rPr>
        <w:t>标准参照深圳市基本农田租金最低价及减免标准执行。</w:t>
      </w:r>
    </w:p>
    <w:p>
      <w:pPr>
        <w:spacing w:line="560" w:lineRule="exact"/>
        <w:ind w:firstLine="640" w:firstLineChars="200"/>
        <w:outlineLvl w:val="3"/>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第四条 耕地耕作层剥离再利用要求及期限</w:t>
      </w:r>
    </w:p>
    <w:p>
      <w:pPr>
        <w:spacing w:line="560" w:lineRule="exact"/>
        <w:ind w:left="210" w:leftChars="10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乙方使用设施农业用地涉及破坏耕地耕作层的，应在</w:t>
      </w:r>
      <w:r>
        <w:rPr>
          <w:rFonts w:hint="eastAsia" w:ascii="仿宋_GB2312" w:hAnsi="仿宋_GB2312" w:eastAsia="仿宋_GB2312" w:cs="仿宋_GB2312"/>
          <w:color w:val="auto"/>
          <w:sz w:val="32"/>
          <w:szCs w:val="32"/>
          <w:highlight w:val="none"/>
          <w:lang w:val="en-US" w:eastAsia="zh-CN"/>
        </w:rPr>
        <w:t xml:space="preserve">     </w:t>
      </w:r>
    </w:p>
    <w:p>
      <w:pPr>
        <w:spacing w:line="560" w:lineRule="exact"/>
        <w:ind w:left="0" w:leftChars="0"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日前组织开展耕作层剥离再利用工作，相关费用由乙方承担。</w:t>
      </w:r>
    </w:p>
    <w:p>
      <w:pPr>
        <w:spacing w:line="560" w:lineRule="exact"/>
        <w:ind w:firstLine="640" w:firstLineChars="200"/>
        <w:outlineLvl w:val="3"/>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第五条 土地恢复要求、期限</w:t>
      </w:r>
    </w:p>
    <w:p>
      <w:pPr>
        <w:spacing w:line="560" w:lineRule="exact"/>
        <w:ind w:left="210" w:leftChars="10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设施农业用地不再使用的，必须恢复原用途（原用途为耕地的必须恢复为耕地且不得低于原二级地类）。综合考虑当地补充开发耕地、耕地提质改造等土地整治项目及设施拆除成本核定的土地恢复费用为人民币</w:t>
      </w:r>
      <w:r>
        <w:rPr>
          <w:rFonts w:hint="eastAsia" w:ascii="仿宋_GB2312" w:hAnsi="仿宋_GB2312" w:eastAsia="仿宋_GB2312" w:cs="仿宋_GB2312"/>
          <w:color w:val="auto"/>
          <w:sz w:val="32"/>
          <w:szCs w:val="32"/>
          <w:highlight w:val="none"/>
          <w:lang w:val="en-US" w:eastAsia="zh-CN"/>
        </w:rPr>
        <w:t>大写</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元整</w:t>
      </w:r>
      <w:r>
        <w:rPr>
          <w:rFonts w:hint="eastAsia" w:ascii="仿宋_GB2312" w:hAnsi="仿宋_GB2312" w:eastAsia="仿宋_GB2312" w:cs="仿宋_GB2312"/>
          <w:color w:val="auto"/>
          <w:sz w:val="32"/>
          <w:szCs w:val="32"/>
          <w:highlight w:val="none"/>
        </w:rPr>
        <w:t>（小写</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元）。乙方承诺在</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日前将土地恢复为原用途，土地恢复费用由乙方承担。乙方完成土地恢复后，向</w:t>
      </w:r>
      <w:r>
        <w:rPr>
          <w:rFonts w:hint="eastAsia" w:ascii="仿宋_GB2312" w:hAnsi="仿宋_GB2312" w:eastAsia="仿宋_GB2312" w:cs="仿宋_GB2312"/>
          <w:color w:val="auto"/>
          <w:sz w:val="32"/>
          <w:szCs w:val="32"/>
          <w:highlight w:val="none"/>
          <w:lang w:val="en-US" w:eastAsia="zh-CN"/>
        </w:rPr>
        <w:t>辖区街道办事处</w:t>
      </w:r>
      <w:r>
        <w:rPr>
          <w:rFonts w:hint="eastAsia" w:ascii="仿宋_GB2312" w:hAnsi="仿宋_GB2312" w:eastAsia="仿宋_GB2312" w:cs="仿宋_GB2312"/>
          <w:color w:val="auto"/>
          <w:sz w:val="32"/>
          <w:szCs w:val="32"/>
          <w:highlight w:val="none"/>
        </w:rPr>
        <w:t>提出验收申请，</w:t>
      </w:r>
      <w:r>
        <w:rPr>
          <w:rFonts w:hint="eastAsia" w:ascii="仿宋_GB2312" w:hAnsi="仿宋_GB2312" w:eastAsia="仿宋_GB2312" w:cs="仿宋_GB2312"/>
          <w:color w:val="auto"/>
          <w:sz w:val="32"/>
          <w:szCs w:val="32"/>
          <w:highlight w:val="none"/>
          <w:lang w:val="en-US" w:eastAsia="zh-CN"/>
        </w:rPr>
        <w:t>辖区街道办事处</w:t>
      </w:r>
      <w:r>
        <w:rPr>
          <w:rFonts w:hint="eastAsia" w:ascii="仿宋_GB2312" w:hAnsi="仿宋_GB2312" w:eastAsia="仿宋_GB2312" w:cs="仿宋_GB2312"/>
          <w:color w:val="auto"/>
          <w:sz w:val="32"/>
          <w:szCs w:val="32"/>
          <w:highlight w:val="none"/>
        </w:rPr>
        <w:t>应于接受申请后二十日之内组织开展土地恢复验收工作。若乙方未能履行土地恢复义务的，由辖区街道办事处依照《行政强制法》的规定代为恢复，乙方按本协议约定足额缴纳土地恢复费用</w:t>
      </w:r>
      <w:r>
        <w:rPr>
          <w:rFonts w:hint="eastAsia" w:ascii="仿宋_GB2312" w:hAnsi="仿宋_GB2312" w:eastAsia="仿宋_GB2312" w:cs="仿宋_GB2312"/>
          <w:color w:val="auto"/>
          <w:sz w:val="32"/>
          <w:szCs w:val="32"/>
          <w:highlight w:val="none"/>
          <w:lang w:eastAsia="zh-CN"/>
        </w:rPr>
        <w:t>。</w:t>
      </w:r>
    </w:p>
    <w:p>
      <w:pPr>
        <w:spacing w:line="560" w:lineRule="exact"/>
        <w:ind w:left="210" w:leftChars="100"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设施农业用地到期后不改变农业用途并循环利用的，在符合建设安全、生物防疫、生态环保等要求的前提下，地上农业设施归于</w:t>
      </w:r>
      <w:r>
        <w:rPr>
          <w:rFonts w:hint="eastAsia" w:ascii="仿宋_GB2312" w:hAnsi="仿宋_GB2312" w:eastAsia="仿宋_GB2312" w:cs="仿宋_GB2312"/>
          <w:color w:val="auto"/>
          <w:sz w:val="32"/>
          <w:szCs w:val="32"/>
          <w:highlight w:val="none"/>
          <w:lang w:val="en-US" w:eastAsia="zh-CN"/>
        </w:rPr>
        <w:t>甲方一</w:t>
      </w:r>
      <w:r>
        <w:rPr>
          <w:rFonts w:hint="eastAsia" w:ascii="仿宋_GB2312" w:hAnsi="仿宋_GB2312" w:eastAsia="仿宋_GB2312" w:cs="仿宋_GB2312"/>
          <w:color w:val="auto"/>
          <w:sz w:val="32"/>
          <w:szCs w:val="32"/>
          <w:highlight w:val="none"/>
        </w:rPr>
        <w:t>组织统一管理；转为非农建设用途的，应按规定办理建设用地手续。</w:t>
      </w:r>
    </w:p>
    <w:p>
      <w:pPr>
        <w:spacing w:line="560" w:lineRule="exact"/>
        <w:ind w:firstLine="640" w:firstLineChars="200"/>
        <w:outlineLvl w:val="3"/>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第六条 权利和义务</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（一）甲方</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的权利和义务：</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1.不得干涉和破坏乙方的生产和经营。</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2.监督和管理设施农业用地行为，督促纠正不符合技术标准及政策规定的用地行为；</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3.监督乙方按照协议约定实施农业设施建设，落实土地恢复责任；</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4.组织完成农业设施建设竣工验收、</w:t>
      </w:r>
      <w:r>
        <w:rPr>
          <w:rFonts w:hint="eastAsia" w:ascii="仿宋_GB2312" w:hAnsi="仿宋_GB2312" w:eastAsia="仿宋_GB2312" w:cs="仿宋_GB2312"/>
          <w:color w:val="auto"/>
          <w:sz w:val="32"/>
          <w:szCs w:val="32"/>
          <w:highlight w:val="none"/>
          <w:lang w:val="en-US" w:eastAsia="zh-CN"/>
        </w:rPr>
        <w:t>协助开展</w:t>
      </w:r>
      <w:r>
        <w:rPr>
          <w:rFonts w:hint="eastAsia" w:ascii="仿宋_GB2312" w:hAnsi="仿宋_GB2312" w:eastAsia="仿宋_GB2312" w:cs="仿宋_GB2312"/>
          <w:color w:val="auto"/>
          <w:sz w:val="32"/>
          <w:szCs w:val="32"/>
          <w:highlight w:val="none"/>
        </w:rPr>
        <w:t>土地恢复验收工作；</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.其他________。</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val="en-US" w:eastAsia="zh-CN"/>
        </w:rPr>
        <w:t>甲方二</w:t>
      </w:r>
      <w:r>
        <w:rPr>
          <w:rFonts w:hint="eastAsia" w:ascii="仿宋_GB2312" w:hAnsi="仿宋_GB2312" w:eastAsia="仿宋_GB2312" w:cs="仿宋_GB2312"/>
          <w:color w:val="auto"/>
          <w:sz w:val="32"/>
          <w:szCs w:val="32"/>
          <w:highlight w:val="none"/>
        </w:rPr>
        <w:t>的权利和义务：</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不得干涉和破坏乙方的生产和经营。</w:t>
      </w:r>
    </w:p>
    <w:p>
      <w:pPr>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其他________。</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）乙方的权利和义务：</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1.享有该土地的生产经营使用及产品处置收益权；</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2.该土地被依法征用、占用的，有权依法获得相应的青苗及乙方建设的设施（建筑物）补偿；</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3.不得改变该土地的农业用途，不得用于非农建设；</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4.保护和合理利用土地，不得给该土地造成永久性损坏，特别是不得破坏优质耕地和永久基本农田；</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5.生态环境应符合国家和有关部门要求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并落实耕地土壤分类管理规定，避免设施农业用地使用过程中造成土壤污染</w:t>
      </w:r>
      <w:r>
        <w:rPr>
          <w:rFonts w:hint="eastAsia" w:ascii="仿宋_GB2312" w:hAnsi="仿宋_GB2312" w:eastAsia="仿宋_GB2312" w:cs="仿宋_GB2312"/>
          <w:color w:val="auto"/>
          <w:sz w:val="32"/>
          <w:szCs w:val="32"/>
          <w:highlight w:val="none"/>
        </w:rPr>
        <w:t>；</w:t>
      </w:r>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rPr>
        <w:t>6.落实土地恢复要求；</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7.农业设施建设须符合建设安全、生物防疫、生态环保等要求，并通过建设工程监理等方式落实安全生产责任;</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8.按规定落实设施农业用地上图入库及信息变更要求；</w:t>
      </w:r>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9.涉及耕地耕作层破坏的，应落实耕作层剥离再利用要</w:t>
      </w:r>
      <w:r>
        <w:rPr>
          <w:rFonts w:hint="eastAsia" w:ascii="仿宋_GB2312" w:hAnsi="仿宋_GB2312" w:eastAsia="仿宋_GB2312" w:cs="仿宋_GB2312"/>
          <w:bCs/>
          <w:color w:val="auto"/>
          <w:kern w:val="2"/>
          <w:sz w:val="32"/>
          <w:szCs w:val="32"/>
          <w:highlight w:val="none"/>
        </w:rPr>
        <w:t>求</w:t>
      </w:r>
      <w:r>
        <w:rPr>
          <w:rFonts w:hint="eastAsia" w:ascii="仿宋_GB2312" w:hAnsi="仿宋_GB2312" w:eastAsia="仿宋_GB2312" w:cs="仿宋_GB2312"/>
          <w:bCs/>
          <w:color w:val="auto"/>
          <w:sz w:val="32"/>
          <w:szCs w:val="32"/>
          <w:highlight w:val="none"/>
        </w:rPr>
        <w:t>；</w:t>
      </w:r>
    </w:p>
    <w:p>
      <w:pPr>
        <w:spacing w:line="560" w:lineRule="exact"/>
        <w:ind w:firstLine="640" w:firstLineChars="200"/>
        <w:outlineLvl w:val="9"/>
        <w:rPr>
          <w:rFonts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.其他________。</w:t>
      </w:r>
    </w:p>
    <w:p>
      <w:pPr>
        <w:spacing w:line="560" w:lineRule="exact"/>
        <w:ind w:firstLine="640" w:firstLineChars="200"/>
        <w:outlineLvl w:val="3"/>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第七条 违约责任</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（一）乙方应按</w:t>
      </w:r>
      <w:r>
        <w:rPr>
          <w:rFonts w:hint="eastAsia" w:ascii="仿宋_GB2312" w:hAnsi="仿宋_GB2312" w:eastAsia="仿宋_GB2312" w:cs="仿宋_GB2312"/>
          <w:color w:val="auto"/>
          <w:sz w:val="32"/>
          <w:szCs w:val="32"/>
          <w:highlight w:val="none"/>
          <w:lang w:val="en-US" w:eastAsia="zh-CN"/>
        </w:rPr>
        <w:t>本协议第三条第二款约定</w:t>
      </w:r>
      <w:r>
        <w:rPr>
          <w:rFonts w:hint="eastAsia" w:ascii="仿宋_GB2312" w:hAnsi="仿宋_GB2312" w:eastAsia="仿宋_GB2312" w:cs="仿宋_GB2312"/>
          <w:color w:val="auto"/>
          <w:sz w:val="32"/>
          <w:szCs w:val="32"/>
          <w:highlight w:val="none"/>
        </w:rPr>
        <w:t>足额向甲方</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支付</w:t>
      </w:r>
      <w:r>
        <w:rPr>
          <w:rFonts w:hint="eastAsia" w:ascii="仿宋_GB2312" w:hAnsi="仿宋_GB2312" w:eastAsia="仿宋_GB2312" w:cs="仿宋_GB2312"/>
          <w:color w:val="auto"/>
          <w:sz w:val="32"/>
          <w:szCs w:val="32"/>
          <w:highlight w:val="none"/>
          <w:lang w:val="en-US" w:eastAsia="zh-CN"/>
        </w:rPr>
        <w:t>费用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每</w:t>
      </w:r>
      <w:r>
        <w:rPr>
          <w:rFonts w:hint="eastAsia" w:ascii="仿宋_GB2312" w:hAnsi="仿宋_GB2312" w:eastAsia="仿宋_GB2312" w:cs="仿宋_GB2312"/>
          <w:color w:val="auto"/>
          <w:sz w:val="32"/>
          <w:szCs w:val="32"/>
          <w:highlight w:val="none"/>
        </w:rPr>
        <w:t>逾期一日应向甲方</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支付应付款的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作为滞纳金。逾期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日视为乙方单方面违约，甲方</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有权收回本协议约定相关土地权利，乙方已有投资、地上物等</w:t>
      </w:r>
      <w:r>
        <w:rPr>
          <w:rFonts w:hint="eastAsia" w:ascii="仿宋_GB2312" w:hAnsi="仿宋_GB2312" w:eastAsia="仿宋_GB2312" w:cs="仿宋_GB2312"/>
          <w:color w:val="auto"/>
          <w:sz w:val="32"/>
          <w:szCs w:val="32"/>
          <w:highlight w:val="none"/>
          <w:lang w:val="en-US" w:eastAsia="zh-CN"/>
        </w:rPr>
        <w:t>不予退还</w:t>
      </w:r>
      <w:r>
        <w:rPr>
          <w:rFonts w:hint="eastAsia" w:ascii="仿宋_GB2312" w:hAnsi="仿宋_GB2312" w:eastAsia="仿宋_GB2312" w:cs="仿宋_GB2312"/>
          <w:color w:val="auto"/>
          <w:sz w:val="32"/>
          <w:szCs w:val="32"/>
          <w:highlight w:val="none"/>
        </w:rPr>
        <w:t>。</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乙方设施农业用地涉及破坏耕作层而未尽耕作层剥离再利用义务的，擅自改变该土地用途或者不合理使用土地造成土地永久损坏的，经国家有关部门鉴定确认后，应承担土地功能恢复责任和相关法律责任。无法全部恢复的，甲方</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有权收回本协议约定相关土地权利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乙方应承担赔偿责任和相关法律责任。</w:t>
      </w:r>
    </w:p>
    <w:p>
      <w:pPr>
        <w:widowControl/>
        <w:spacing w:line="560" w:lineRule="exact"/>
        <w:ind w:firstLine="640" w:firstLineChars="200"/>
        <w:jc w:val="left"/>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rPr>
        <w:t>（三）乙方未按</w:t>
      </w:r>
      <w:r>
        <w:rPr>
          <w:rFonts w:hint="eastAsia" w:ascii="仿宋_GB2312" w:hAnsi="仿宋_GB2312" w:eastAsia="仿宋_GB2312" w:cs="仿宋_GB2312"/>
          <w:color w:val="auto"/>
          <w:sz w:val="32"/>
          <w:szCs w:val="32"/>
          <w:highlight w:val="none"/>
          <w:lang w:val="en-US" w:eastAsia="zh-CN"/>
        </w:rPr>
        <w:t>本</w:t>
      </w:r>
      <w:r>
        <w:rPr>
          <w:rFonts w:hint="eastAsia" w:ascii="仿宋_GB2312" w:hAnsi="仿宋_GB2312" w:eastAsia="仿宋_GB2312" w:cs="仿宋_GB2312"/>
          <w:color w:val="auto"/>
          <w:sz w:val="32"/>
          <w:szCs w:val="32"/>
          <w:highlight w:val="none"/>
        </w:rPr>
        <w:t>协议约定履行土地恢复义务的</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val="en-US" w:eastAsia="zh-CN"/>
        </w:rPr>
        <w:t>辖区街道办事处</w:t>
      </w:r>
      <w:r>
        <w:rPr>
          <w:rFonts w:hint="eastAsia" w:ascii="仿宋_GB2312" w:hAnsi="仿宋_GB2312" w:eastAsia="仿宋_GB2312" w:cs="仿宋_GB2312"/>
          <w:color w:val="auto"/>
          <w:sz w:val="32"/>
          <w:szCs w:val="32"/>
          <w:highlight w:val="none"/>
          <w:lang w:bidi="ar"/>
        </w:rPr>
        <w:t>依照《行政强制法》的规定代为恢复，</w:t>
      </w:r>
      <w:r>
        <w:rPr>
          <w:rFonts w:hint="eastAsia" w:ascii="仿宋_GB2312" w:hAnsi="仿宋_GB2312" w:eastAsia="仿宋_GB2312" w:cs="仿宋_GB2312"/>
          <w:color w:val="auto"/>
          <w:sz w:val="32"/>
          <w:szCs w:val="32"/>
          <w:highlight w:val="none"/>
        </w:rPr>
        <w:t>乙方</w:t>
      </w:r>
      <w:r>
        <w:rPr>
          <w:rFonts w:hint="eastAsia" w:ascii="仿宋_GB2312" w:hAnsi="仿宋_GB2312" w:eastAsia="仿宋_GB2312" w:cs="仿宋_GB2312"/>
          <w:color w:val="auto"/>
          <w:sz w:val="32"/>
          <w:szCs w:val="32"/>
          <w:highlight w:val="none"/>
          <w:lang w:bidi="ar"/>
        </w:rPr>
        <w:t>按</w:t>
      </w:r>
      <w:r>
        <w:rPr>
          <w:rFonts w:hint="eastAsia" w:ascii="仿宋_GB2312" w:hAnsi="仿宋_GB2312" w:eastAsia="仿宋_GB2312" w:cs="仿宋_GB2312"/>
          <w:color w:val="auto"/>
          <w:sz w:val="32"/>
          <w:szCs w:val="32"/>
          <w:highlight w:val="none"/>
          <w:lang w:val="en-US" w:eastAsia="zh-CN" w:bidi="ar"/>
        </w:rPr>
        <w:t>本</w:t>
      </w:r>
      <w:r>
        <w:rPr>
          <w:rFonts w:hint="eastAsia" w:ascii="仿宋_GB2312" w:hAnsi="仿宋_GB2312" w:eastAsia="仿宋_GB2312" w:cs="仿宋_GB2312"/>
          <w:color w:val="auto"/>
          <w:sz w:val="32"/>
          <w:szCs w:val="32"/>
          <w:highlight w:val="none"/>
          <w:lang w:bidi="ar"/>
        </w:rPr>
        <w:t>协议约定足额缴纳土地恢复费用。涉及违法用地并作出行政处罚的，按照《广东省社会信用条例》《全国公共信用信息基础目录》等法规制度要求，将相关信息纳入市公共信用信息管理系统。</w:t>
      </w:r>
    </w:p>
    <w:p>
      <w:pPr>
        <w:widowControl/>
        <w:spacing w:line="560" w:lineRule="exact"/>
        <w:ind w:firstLine="640" w:firstLineChars="200"/>
        <w:jc w:val="left"/>
        <w:rPr>
          <w:rFonts w:hint="default"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四）乙方未按本协议约定使用土地的，包括但不限于</w:t>
      </w:r>
      <w:r>
        <w:rPr>
          <w:rFonts w:hint="eastAsia" w:ascii="仿宋_GB2312" w:hAnsi="仿宋_GB2312" w:eastAsia="仿宋_GB2312" w:cs="仿宋_GB2312"/>
          <w:color w:val="auto"/>
          <w:sz w:val="32"/>
          <w:szCs w:val="32"/>
          <w:highlight w:val="none"/>
        </w:rPr>
        <w:t>未经批准擅自改变设施农业用地类型、擅自占用耕地和永久基本农田、擅自改变或扩大设施农业用地范围、变相在设施农业用地上进行非农建设等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经告知后，仍不按要求整改或整改不到位的，甲方一有权解除本协议。</w:t>
      </w:r>
    </w:p>
    <w:p>
      <w:pPr>
        <w:spacing w:line="560" w:lineRule="exact"/>
        <w:ind w:firstLine="640" w:firstLineChars="200"/>
        <w:outlineLvl w:val="3"/>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第八条 争议解决</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甲乙双方</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rPr>
        <w:t>本协议履行过程中发生纠纷的，</w:t>
      </w:r>
      <w:r>
        <w:rPr>
          <w:rFonts w:hint="eastAsia" w:ascii="仿宋_GB2312" w:hAnsi="仿宋_GB2312" w:eastAsia="仿宋_GB2312" w:cs="仿宋_GB2312"/>
          <w:color w:val="auto"/>
          <w:sz w:val="32"/>
          <w:szCs w:val="32"/>
          <w:highlight w:val="none"/>
          <w:lang w:val="en-US" w:eastAsia="zh-CN"/>
        </w:rPr>
        <w:t>可向</w:t>
      </w:r>
      <w:r>
        <w:rPr>
          <w:rFonts w:hint="eastAsia" w:ascii="仿宋_GB2312" w:hAnsi="仿宋_GB2312" w:eastAsia="仿宋_GB2312" w:cs="仿宋_GB2312"/>
          <w:color w:val="auto"/>
          <w:sz w:val="32"/>
          <w:szCs w:val="32"/>
          <w:highlight w:val="none"/>
        </w:rPr>
        <w:t>区政府</w:t>
      </w:r>
      <w:r>
        <w:rPr>
          <w:rFonts w:hint="eastAsia" w:ascii="仿宋_GB2312" w:hAnsi="仿宋_GB2312" w:eastAsia="仿宋_GB2312" w:cs="仿宋_GB2312"/>
          <w:color w:val="auto"/>
          <w:sz w:val="32"/>
          <w:szCs w:val="32"/>
          <w:highlight w:val="none"/>
          <w:lang w:val="en-US" w:eastAsia="zh-CN"/>
        </w:rPr>
        <w:t>申请</w:t>
      </w:r>
      <w:r>
        <w:rPr>
          <w:rFonts w:hint="eastAsia" w:ascii="仿宋_GB2312" w:hAnsi="仿宋_GB2312" w:eastAsia="仿宋_GB2312" w:cs="仿宋_GB2312"/>
          <w:color w:val="auto"/>
          <w:sz w:val="32"/>
          <w:szCs w:val="32"/>
          <w:highlight w:val="none"/>
        </w:rPr>
        <w:t>调解，</w:t>
      </w:r>
      <w:r>
        <w:rPr>
          <w:rFonts w:hint="eastAsia" w:ascii="仿宋_GB2312" w:hAnsi="仿宋_GB2312" w:eastAsia="仿宋_GB2312" w:cs="仿宋_GB2312"/>
          <w:color w:val="auto"/>
          <w:sz w:val="32"/>
          <w:szCs w:val="32"/>
          <w:highlight w:val="none"/>
          <w:lang w:val="en-US" w:eastAsia="zh-CN"/>
        </w:rPr>
        <w:t>也</w:t>
      </w:r>
      <w:r>
        <w:rPr>
          <w:rFonts w:hint="eastAsia" w:ascii="仿宋_GB2312" w:hAnsi="仿宋_GB2312" w:eastAsia="仿宋_GB2312" w:cs="仿宋_GB2312"/>
          <w:color w:val="auto"/>
          <w:sz w:val="32"/>
          <w:szCs w:val="32"/>
          <w:highlight w:val="none"/>
        </w:rPr>
        <w:t>可向人民法院申请诉讼。</w:t>
      </w:r>
    </w:p>
    <w:p>
      <w:pPr>
        <w:spacing w:line="560" w:lineRule="exact"/>
        <w:ind w:firstLine="640" w:firstLineChars="200"/>
        <w:outlineLvl w:val="3"/>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第九条 附则</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本协议如有未尽事宜，经各方平等协商后，可以对本协议进行补充和修改，补充和修改的内容构成本协议的组成部分，具有本协议予以同等法律效力。</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本协议自</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日起生效，一式四（六）份，甲乙各两份。</w:t>
      </w:r>
    </w:p>
    <w:p>
      <w:pPr>
        <w:spacing w:line="560" w:lineRule="exact"/>
        <w:ind w:firstLine="1280" w:firstLineChars="400"/>
        <w:rPr>
          <w:rFonts w:ascii="仿宋_GB2312" w:hAnsi="仿宋_GB2312" w:eastAsia="仿宋_GB2312" w:cs="仿宋_GB2312"/>
          <w:color w:val="auto"/>
          <w:sz w:val="32"/>
          <w:szCs w:val="32"/>
          <w:highlight w:val="none"/>
        </w:rPr>
      </w:pP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附件：1.</w:t>
      </w:r>
      <w:r>
        <w:rPr>
          <w:rFonts w:hint="eastAsia" w:ascii="仿宋_GB2312" w:hAnsi="仿宋_GB2312" w:eastAsia="仿宋_GB2312" w:cs="仿宋_GB2312"/>
          <w:color w:val="auto"/>
          <w:sz w:val="32"/>
          <w:szCs w:val="32"/>
          <w:highlight w:val="none"/>
          <w:lang w:val="en-US" w:eastAsia="zh-CN"/>
        </w:rPr>
        <w:t>项目用地图</w:t>
      </w:r>
    </w:p>
    <w:p>
      <w:pPr>
        <w:spacing w:line="560" w:lineRule="exact"/>
        <w:ind w:firstLine="1600" w:firstLineChars="5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2.农业设施用地图</w:t>
      </w:r>
    </w:p>
    <w:p>
      <w:pPr>
        <w:spacing w:line="560" w:lineRule="exact"/>
        <w:ind w:firstLine="1600" w:firstLineChars="5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default" w:ascii="仿宋_GB2312" w:hAnsi="仿宋_GB2312" w:eastAsia="仿宋_GB2312" w:cs="仿宋_GB2312"/>
          <w:color w:val="auto"/>
          <w:sz w:val="32"/>
          <w:szCs w:val="32"/>
          <w:highlight w:val="none"/>
        </w:rPr>
        <w:t>设施建设方案</w:t>
      </w:r>
    </w:p>
    <w:p>
      <w:pPr>
        <w:spacing w:line="560" w:lineRule="exact"/>
        <w:ind w:firstLine="1600" w:firstLineChars="500"/>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default" w:ascii="仿宋_GB2312" w:hAnsi="仿宋_GB2312" w:eastAsia="仿宋_GB2312" w:cs="仿宋_GB2312"/>
          <w:color w:val="auto"/>
          <w:sz w:val="32"/>
          <w:szCs w:val="32"/>
          <w:highlight w:val="none"/>
        </w:rPr>
        <w:t>项目用地及农业设施用地坐标文件</w:t>
      </w:r>
    </w:p>
    <w:p>
      <w:pPr>
        <w:spacing w:line="560" w:lineRule="exact"/>
        <w:ind w:firstLine="1600" w:firstLineChars="500"/>
        <w:rPr>
          <w:rFonts w:hint="eastAsia" w:ascii="仿宋_GB2312" w:hAnsi="仿宋_GB2312" w:eastAsia="仿宋_GB2312" w:cs="仿宋_GB2312"/>
          <w:color w:val="auto"/>
          <w:sz w:val="32"/>
          <w:szCs w:val="28"/>
          <w:highlight w:val="none"/>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28"/>
          <w:highlight w:val="none"/>
          <w:lang w:val="en-US" w:eastAsia="zh-CN"/>
        </w:rPr>
        <w:t>土地</w:t>
      </w:r>
      <w:r>
        <w:rPr>
          <w:rFonts w:hint="eastAsia" w:ascii="仿宋_GB2312" w:hAnsi="仿宋_GB2312" w:eastAsia="仿宋_GB2312" w:cs="仿宋_GB2312"/>
          <w:color w:val="auto"/>
          <w:sz w:val="32"/>
          <w:szCs w:val="28"/>
          <w:highlight w:val="none"/>
        </w:rPr>
        <w:t>（含耕地）租赁</w:t>
      </w:r>
      <w:r>
        <w:rPr>
          <w:rFonts w:hint="eastAsia" w:ascii="仿宋_GB2312" w:hAnsi="仿宋_GB2312" w:eastAsia="仿宋_GB2312" w:cs="仿宋_GB2312"/>
          <w:color w:val="auto"/>
          <w:sz w:val="32"/>
          <w:szCs w:val="28"/>
          <w:highlight w:val="none"/>
          <w:lang w:val="en-US" w:eastAsia="zh-CN"/>
        </w:rPr>
        <w:t>合同</w:t>
      </w:r>
      <w:r>
        <w:rPr>
          <w:rFonts w:hint="eastAsia" w:ascii="仿宋_GB2312" w:hAnsi="仿宋_GB2312" w:eastAsia="仿宋_GB2312" w:cs="仿宋_GB2312"/>
          <w:color w:val="auto"/>
          <w:sz w:val="32"/>
          <w:szCs w:val="28"/>
          <w:highlight w:val="none"/>
          <w:lang w:eastAsia="zh-CN"/>
        </w:rPr>
        <w:t>（</w:t>
      </w:r>
      <w:r>
        <w:rPr>
          <w:rFonts w:hint="eastAsia" w:ascii="仿宋_GB2312" w:hAnsi="仿宋_GB2312" w:eastAsia="仿宋_GB2312" w:cs="仿宋_GB2312"/>
          <w:color w:val="auto"/>
          <w:sz w:val="32"/>
          <w:szCs w:val="28"/>
          <w:highlight w:val="none"/>
          <w:lang w:val="en-US" w:eastAsia="zh-CN"/>
        </w:rPr>
        <w:t>如涉及）</w:t>
      </w:r>
    </w:p>
    <w:p>
      <w:pPr>
        <w:spacing w:line="560" w:lineRule="exact"/>
        <w:ind w:firstLine="1600" w:firstLineChars="5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28"/>
          <w:highlight w:val="none"/>
          <w:lang w:val="en-US" w:eastAsia="zh-CN"/>
        </w:rPr>
        <w:t>6.其他用地申请材料</w:t>
      </w:r>
    </w:p>
    <w:p>
      <w:pPr>
        <w:pStyle w:val="5"/>
        <w:numPr>
          <w:ilvl w:val="0"/>
          <w:numId w:val="0"/>
        </w:numPr>
        <w:spacing w:line="560" w:lineRule="exact"/>
        <w:rPr>
          <w:rFonts w:ascii="仿宋_GB2312" w:hAnsi="仿宋_GB2312" w:eastAsia="仿宋_GB2312" w:cs="仿宋_GB2312"/>
          <w:color w:val="auto"/>
          <w:sz w:val="32"/>
          <w:szCs w:val="32"/>
          <w:highlight w:val="none"/>
        </w:rPr>
      </w:pPr>
    </w:p>
    <w:p>
      <w:pPr>
        <w:pStyle w:val="5"/>
        <w:numPr>
          <w:ilvl w:val="0"/>
          <w:numId w:val="0"/>
        </w:numPr>
        <w:spacing w:line="560" w:lineRule="exact"/>
        <w:rPr>
          <w:rFonts w:ascii="仿宋_GB2312" w:hAnsi="仿宋_GB2312" w:eastAsia="仿宋_GB2312" w:cs="仿宋_GB2312"/>
          <w:color w:val="auto"/>
          <w:sz w:val="32"/>
          <w:szCs w:val="32"/>
          <w:highlight w:val="none"/>
        </w:rPr>
      </w:pPr>
    </w:p>
    <w:p>
      <w:pPr>
        <w:spacing w:line="560" w:lineRule="exact"/>
        <w:ind w:firstLine="1280" w:firstLineChars="4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 xml:space="preserve">方：  </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（签字盖章）     （签字盖章）     （签字盖章）</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pPr>
        <w:spacing w:line="560" w:lineRule="exact"/>
        <w:ind w:firstLine="1280" w:firstLineChars="400"/>
        <w:rPr>
          <w:rFonts w:ascii="仿宋_GB2312" w:hAnsi="仿宋_GB2312" w:eastAsia="仿宋_GB2312" w:cs="仿宋_GB2312"/>
          <w:color w:val="auto"/>
          <w:sz w:val="32"/>
          <w:szCs w:val="32"/>
          <w:highlight w:val="none"/>
        </w:rPr>
      </w:pPr>
    </w:p>
    <w:p>
      <w:pPr>
        <w:spacing w:line="560" w:lineRule="exact"/>
        <w:ind w:firstLine="1280" w:firstLineChars="4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签订日期：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pPr>
        <w:pStyle w:val="4"/>
        <w:spacing w:line="560" w:lineRule="exact"/>
        <w:rPr>
          <w:rFonts w:hint="default" w:ascii="仿宋_GB2312" w:hAnsi="仿宋_GB2312" w:eastAsia="仿宋_GB2312" w:cs="仿宋_GB2312"/>
          <w:color w:val="auto"/>
          <w:highlight w:val="none"/>
        </w:rPr>
      </w:pPr>
    </w:p>
    <w:tbl>
      <w:tblPr>
        <w:tblStyle w:val="8"/>
        <w:tblpPr w:leftFromText="180" w:rightFromText="180" w:vertAnchor="text" w:horzAnchor="page" w:tblpX="1906" w:tblpY="88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4" w:hRule="atLeast"/>
        </w:trPr>
        <w:tc>
          <w:tcPr>
            <w:tcW w:w="8584" w:type="dxa"/>
            <w:noWrap w:val="0"/>
            <w:vAlign w:val="top"/>
          </w:tcPr>
          <w:p>
            <w:pPr>
              <w:spacing w:line="560" w:lineRule="exact"/>
              <w:rPr>
                <w:rFonts w:ascii="仿宋_GB2312" w:hAnsi="仿宋_GB2312" w:eastAsia="仿宋_GB2312" w:cs="仿宋_GB2312"/>
                <w:color w:val="auto"/>
                <w:kern w:val="0"/>
                <w:sz w:val="32"/>
                <w:szCs w:val="32"/>
                <w:highlight w:val="none"/>
              </w:rPr>
            </w:pPr>
          </w:p>
          <w:p>
            <w:pPr>
              <w:spacing w:line="560" w:lineRule="exact"/>
              <w:rPr>
                <w:rFonts w:ascii="仿宋_GB2312" w:hAnsi="仿宋_GB2312" w:eastAsia="仿宋_GB2312" w:cs="仿宋_GB2312"/>
                <w:color w:val="auto"/>
                <w:kern w:val="0"/>
                <w:sz w:val="32"/>
                <w:szCs w:val="32"/>
                <w:highlight w:val="none"/>
              </w:rPr>
            </w:pPr>
          </w:p>
          <w:p>
            <w:pPr>
              <w:spacing w:line="560" w:lineRule="exact"/>
              <w:rPr>
                <w:rFonts w:ascii="仿宋_GB2312" w:hAnsi="仿宋_GB2312" w:eastAsia="仿宋_GB2312" w:cs="仿宋_GB2312"/>
                <w:color w:val="auto"/>
                <w:kern w:val="0"/>
                <w:sz w:val="32"/>
                <w:szCs w:val="32"/>
                <w:highlight w:val="none"/>
              </w:rPr>
            </w:pPr>
          </w:p>
          <w:p>
            <w:pPr>
              <w:spacing w:line="560" w:lineRule="exact"/>
              <w:rPr>
                <w:rFonts w:ascii="仿宋_GB2312" w:hAnsi="仿宋_GB2312" w:eastAsia="仿宋_GB2312" w:cs="仿宋_GB2312"/>
                <w:color w:val="auto"/>
                <w:kern w:val="0"/>
                <w:sz w:val="32"/>
                <w:szCs w:val="32"/>
                <w:highlight w:val="none"/>
              </w:rPr>
            </w:pPr>
          </w:p>
          <w:p>
            <w:pPr>
              <w:spacing w:line="560" w:lineRule="exact"/>
              <w:rPr>
                <w:rFonts w:ascii="仿宋_GB2312" w:hAnsi="仿宋_GB2312" w:eastAsia="仿宋_GB2312" w:cs="仿宋_GB2312"/>
                <w:color w:val="auto"/>
                <w:kern w:val="0"/>
                <w:sz w:val="32"/>
                <w:szCs w:val="32"/>
                <w:highlight w:val="none"/>
              </w:rPr>
            </w:pPr>
          </w:p>
          <w:p>
            <w:pPr>
              <w:spacing w:line="560" w:lineRule="exact"/>
              <w:rPr>
                <w:rFonts w:ascii="仿宋_GB2312" w:hAnsi="仿宋_GB2312" w:eastAsia="仿宋_GB2312" w:cs="仿宋_GB2312"/>
                <w:color w:val="auto"/>
                <w:kern w:val="0"/>
                <w:sz w:val="32"/>
                <w:szCs w:val="32"/>
                <w:highlight w:val="none"/>
              </w:rPr>
            </w:pPr>
          </w:p>
          <w:p>
            <w:pPr>
              <w:spacing w:line="560" w:lineRule="exact"/>
              <w:ind w:firstLine="1280" w:firstLineChars="400"/>
              <w:rPr>
                <w:rFonts w:ascii="仿宋_GB2312" w:hAnsi="仿宋_GB2312" w:eastAsia="仿宋_GB2312" w:cs="仿宋_GB2312"/>
                <w:color w:val="auto"/>
                <w:kern w:val="0"/>
                <w:sz w:val="32"/>
                <w:szCs w:val="32"/>
                <w:highlight w:val="none"/>
              </w:rPr>
            </w:pPr>
          </w:p>
          <w:p>
            <w:pPr>
              <w:spacing w:line="560" w:lineRule="exact"/>
              <w:ind w:firstLine="1280" w:firstLineChars="400"/>
              <w:rPr>
                <w:rFonts w:ascii="仿宋_GB2312" w:hAnsi="仿宋_GB2312" w:eastAsia="仿宋_GB2312" w:cs="仿宋_GB2312"/>
                <w:color w:val="auto"/>
                <w:kern w:val="0"/>
                <w:sz w:val="32"/>
                <w:szCs w:val="32"/>
                <w:highlight w:val="none"/>
              </w:rPr>
            </w:pPr>
          </w:p>
          <w:p>
            <w:pPr>
              <w:spacing w:line="560" w:lineRule="exact"/>
              <w:ind w:firstLine="1280" w:firstLineChars="4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甲方</w:t>
            </w:r>
            <w:r>
              <w:rPr>
                <w:rFonts w:hint="eastAsia" w:ascii="仿宋_GB2312" w:hAnsi="仿宋_GB2312" w:eastAsia="仿宋_GB2312" w:cs="仿宋_GB2312"/>
                <w:color w:val="auto"/>
                <w:kern w:val="0"/>
                <w:sz w:val="32"/>
                <w:szCs w:val="32"/>
                <w:highlight w:val="none"/>
                <w:lang w:val="en-US" w:eastAsia="zh-CN"/>
              </w:rPr>
              <w:t>一</w:t>
            </w:r>
            <w:r>
              <w:rPr>
                <w:rFonts w:hint="eastAsia" w:ascii="仿宋_GB2312" w:hAnsi="仿宋_GB2312" w:eastAsia="仿宋_GB2312" w:cs="仿宋_GB2312"/>
                <w:color w:val="auto"/>
                <w:kern w:val="0"/>
                <w:sz w:val="32"/>
                <w:szCs w:val="32"/>
                <w:highlight w:val="none"/>
              </w:rPr>
              <w:t>：             （签字盖章）</w:t>
            </w:r>
          </w:p>
          <w:p>
            <w:pPr>
              <w:spacing w:line="560" w:lineRule="exact"/>
              <w:ind w:firstLine="1280" w:firstLineChars="400"/>
              <w:rPr>
                <w:rFonts w:ascii="仿宋_GB2312" w:hAnsi="仿宋_GB2312" w:eastAsia="仿宋_GB2312" w:cs="仿宋_GB2312"/>
                <w:color w:val="auto"/>
                <w:kern w:val="0"/>
                <w:sz w:val="32"/>
                <w:szCs w:val="32"/>
                <w:highlight w:val="none"/>
              </w:rPr>
            </w:pPr>
          </w:p>
          <w:p>
            <w:pPr>
              <w:spacing w:line="560" w:lineRule="exact"/>
              <w:ind w:firstLine="1280" w:firstLineChars="4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甲</w:t>
            </w:r>
            <w:r>
              <w:rPr>
                <w:rFonts w:hint="eastAsia" w:ascii="仿宋_GB2312" w:hAnsi="仿宋_GB2312" w:eastAsia="仿宋_GB2312" w:cs="仿宋_GB2312"/>
                <w:color w:val="auto"/>
                <w:kern w:val="0"/>
                <w:sz w:val="32"/>
                <w:szCs w:val="32"/>
                <w:highlight w:val="none"/>
              </w:rPr>
              <w:t>方</w:t>
            </w:r>
            <w:r>
              <w:rPr>
                <w:rFonts w:hint="eastAsia" w:ascii="仿宋_GB2312" w:hAnsi="仿宋_GB2312" w:eastAsia="仿宋_GB2312" w:cs="仿宋_GB2312"/>
                <w:color w:val="auto"/>
                <w:kern w:val="0"/>
                <w:sz w:val="32"/>
                <w:szCs w:val="32"/>
                <w:highlight w:val="none"/>
                <w:lang w:val="en-US" w:eastAsia="zh-CN"/>
              </w:rPr>
              <w:t>二</w:t>
            </w:r>
            <w:r>
              <w:rPr>
                <w:rFonts w:hint="eastAsia" w:ascii="仿宋_GB2312" w:hAnsi="仿宋_GB2312" w:eastAsia="仿宋_GB2312" w:cs="仿宋_GB2312"/>
                <w:color w:val="auto"/>
                <w:kern w:val="0"/>
                <w:sz w:val="32"/>
                <w:szCs w:val="32"/>
                <w:highlight w:val="none"/>
              </w:rPr>
              <w:t>：             （签字盖章）</w:t>
            </w:r>
          </w:p>
          <w:p>
            <w:pPr>
              <w:spacing w:line="560" w:lineRule="exact"/>
              <w:ind w:firstLine="1280" w:firstLineChars="400"/>
              <w:rPr>
                <w:rFonts w:ascii="仿宋_GB2312" w:hAnsi="仿宋_GB2312" w:eastAsia="仿宋_GB2312" w:cs="仿宋_GB2312"/>
                <w:color w:val="auto"/>
                <w:kern w:val="0"/>
                <w:sz w:val="32"/>
                <w:szCs w:val="32"/>
                <w:highlight w:val="none"/>
              </w:rPr>
            </w:pPr>
          </w:p>
          <w:p>
            <w:pPr>
              <w:spacing w:line="560" w:lineRule="exact"/>
              <w:ind w:firstLine="1280" w:firstLineChars="4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乙</w:t>
            </w:r>
            <w:r>
              <w:rPr>
                <w:rFonts w:hint="eastAsia" w:ascii="仿宋_GB2312" w:hAnsi="仿宋_GB2312" w:eastAsia="仿宋_GB2312" w:cs="仿宋_GB2312"/>
                <w:color w:val="auto"/>
                <w:kern w:val="0"/>
                <w:sz w:val="32"/>
                <w:szCs w:val="32"/>
                <w:highlight w:val="none"/>
              </w:rPr>
              <w:t>方：               （签字盖章）</w:t>
            </w:r>
          </w:p>
          <w:p>
            <w:pPr>
              <w:spacing w:line="560" w:lineRule="exact"/>
              <w:ind w:firstLine="1280" w:firstLineChars="400"/>
              <w:rPr>
                <w:rFonts w:ascii="仿宋_GB2312" w:hAnsi="仿宋_GB2312" w:eastAsia="仿宋_GB2312" w:cs="仿宋_GB2312"/>
                <w:color w:val="auto"/>
                <w:kern w:val="0"/>
                <w:sz w:val="32"/>
                <w:szCs w:val="32"/>
                <w:highlight w:val="none"/>
              </w:rPr>
            </w:pPr>
          </w:p>
          <w:p>
            <w:pPr>
              <w:spacing w:line="560" w:lineRule="exact"/>
              <w:ind w:firstLine="1280" w:firstLineChars="4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                          年   月   日</w:t>
            </w:r>
          </w:p>
          <w:p>
            <w:pPr>
              <w:spacing w:line="560" w:lineRule="exact"/>
              <w:ind w:firstLine="1280" w:firstLineChars="400"/>
              <w:rPr>
                <w:rFonts w:ascii="仿宋_GB2312" w:hAnsi="仿宋_GB2312" w:eastAsia="仿宋_GB2312" w:cs="仿宋_GB2312"/>
                <w:color w:val="auto"/>
                <w:kern w:val="0"/>
                <w:sz w:val="32"/>
                <w:szCs w:val="32"/>
                <w:highlight w:val="none"/>
              </w:rPr>
            </w:pPr>
          </w:p>
        </w:tc>
      </w:tr>
    </w:tbl>
    <w:p>
      <w:pPr>
        <w:spacing w:line="560" w:lineRule="exact"/>
        <w:outlineLvl w:val="4"/>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附：补充协议或协议修改内容</w:t>
      </w:r>
    </w:p>
    <w:p>
      <w:pPr>
        <w:spacing w:line="560" w:lineRule="exact"/>
        <w:outlineLvl w:val="9"/>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br w:type="page"/>
      </w:r>
      <w:r>
        <w:rPr>
          <w:rFonts w:hint="eastAsia" w:ascii="仿宋_GB2312" w:hAnsi="仿宋_GB2312" w:eastAsia="仿宋_GB2312" w:cs="仿宋_GB2312"/>
          <w:b/>
          <w:bCs/>
          <w:color w:val="auto"/>
          <w:sz w:val="32"/>
          <w:szCs w:val="32"/>
          <w:highlight w:val="none"/>
        </w:rPr>
        <w:t>用地图1</w:t>
      </w:r>
    </w:p>
    <w:p>
      <w:pPr>
        <w:pStyle w:val="4"/>
        <w:spacing w:line="560" w:lineRule="exact"/>
        <w:rPr>
          <w:rFonts w:hint="default" w:ascii="仿宋_GB2312" w:hAnsi="仿宋_GB2312" w:eastAsia="仿宋_GB2312" w:cs="仿宋_GB2312"/>
          <w:b/>
          <w:bCs/>
          <w:color w:val="auto"/>
          <w:sz w:val="32"/>
          <w:szCs w:val="32"/>
          <w:highlight w:val="none"/>
        </w:rPr>
      </w:pPr>
    </w:p>
    <w:p>
      <w:pPr>
        <w:spacing w:line="560" w:lineRule="exact"/>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项目用地图</w:t>
      </w:r>
    </w:p>
    <w:p>
      <w:pPr>
        <w:spacing w:line="5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不低于1∶2000勘测定界图</w:t>
      </w:r>
    </w:p>
    <w:p>
      <w:pPr>
        <w:spacing w:line="560" w:lineRule="exact"/>
        <w:jc w:val="left"/>
        <w:rPr>
          <w:rFonts w:ascii="仿宋_GB2312" w:hAnsi="仿宋_GB2312" w:eastAsia="仿宋_GB2312" w:cs="仿宋_GB2312"/>
          <w:color w:val="auto"/>
          <w:sz w:val="32"/>
          <w:szCs w:val="32"/>
          <w:highlight w:val="none"/>
        </w:rPr>
      </w:pPr>
    </w:p>
    <w:p>
      <w:pPr>
        <w:spacing w:line="560" w:lineRule="exact"/>
        <w:jc w:val="left"/>
        <w:rPr>
          <w:rFonts w:ascii="仿宋_GB2312" w:hAnsi="仿宋_GB2312" w:eastAsia="仿宋_GB2312" w:cs="仿宋_GB2312"/>
          <w:color w:val="auto"/>
          <w:sz w:val="32"/>
          <w:szCs w:val="32"/>
          <w:highlight w:val="none"/>
        </w:rPr>
      </w:pPr>
    </w:p>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（贴图件处）</w:t>
      </w:r>
    </w:p>
    <w:p>
      <w:pPr>
        <w:spacing w:line="560" w:lineRule="exact"/>
        <w:rPr>
          <w:rFonts w:ascii="仿宋_GB2312" w:hAnsi="仿宋_GB2312" w:eastAsia="仿宋_GB2312" w:cs="仿宋_GB2312"/>
          <w:color w:val="auto"/>
          <w:sz w:val="32"/>
          <w:szCs w:val="32"/>
          <w:highlight w:val="none"/>
        </w:rPr>
      </w:pPr>
    </w:p>
    <w:p>
      <w:pPr>
        <w:spacing w:line="560" w:lineRule="exact"/>
        <w:rPr>
          <w:rFonts w:ascii="仿宋_GB2312" w:hAnsi="仿宋_GB2312" w:eastAsia="仿宋_GB2312" w:cs="仿宋_GB2312"/>
          <w:color w:val="auto"/>
          <w:sz w:val="32"/>
          <w:szCs w:val="32"/>
          <w:highlight w:val="none"/>
        </w:rPr>
      </w:pPr>
    </w:p>
    <w:p>
      <w:pPr>
        <w:spacing w:line="560" w:lineRule="exact"/>
        <w:rPr>
          <w:rFonts w:ascii="仿宋_GB2312" w:hAnsi="仿宋_GB2312" w:eastAsia="仿宋_GB2312" w:cs="仿宋_GB2312"/>
          <w:color w:val="auto"/>
          <w:sz w:val="32"/>
          <w:szCs w:val="32"/>
          <w:highlight w:val="none"/>
        </w:rPr>
      </w:pPr>
    </w:p>
    <w:p>
      <w:pPr>
        <w:spacing w:line="560" w:lineRule="exact"/>
        <w:rPr>
          <w:rFonts w:ascii="仿宋_GB2312" w:hAnsi="仿宋_GB2312" w:eastAsia="仿宋_GB2312" w:cs="仿宋_GB2312"/>
          <w:color w:val="auto"/>
          <w:sz w:val="32"/>
          <w:szCs w:val="32"/>
          <w:highlight w:val="none"/>
        </w:rPr>
      </w:pP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说明：</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1.项目用地图应采用最新的土地利用现状图(局部)。图面顶端为图件名称和1:10000标准分幅图图幅号，左下角或左上角空白处加注图例，右下角加注主要坐标点坐标。底端左下角空白处加注制图员和制图日期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底端右下角空白处加注盖章日期并加盖区农业主管部门公章。</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2.项目用地红线坐标采用最新年度土地变更调查数据成果、国土空间规划数据库统一的技术标准，采用2000国家大地坐标，高斯克吕格投影方式，3度分带(中央经线分别为111°、114°、117°）。</w:t>
      </w:r>
    </w:p>
    <w:p>
      <w:pPr>
        <w:spacing w:line="560" w:lineRule="exact"/>
        <w:outlineLvl w:val="9"/>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br w:type="page"/>
      </w:r>
      <w:r>
        <w:rPr>
          <w:rFonts w:hint="eastAsia" w:ascii="仿宋_GB2312" w:hAnsi="仿宋_GB2312" w:eastAsia="仿宋_GB2312" w:cs="仿宋_GB2312"/>
          <w:b/>
          <w:bCs/>
          <w:color w:val="auto"/>
          <w:sz w:val="32"/>
          <w:szCs w:val="32"/>
          <w:highlight w:val="none"/>
        </w:rPr>
        <w:t>用地图2</w:t>
      </w:r>
    </w:p>
    <w:p>
      <w:pPr>
        <w:spacing w:line="560" w:lineRule="exact"/>
        <w:rPr>
          <w:rFonts w:ascii="仿宋_GB2312" w:hAnsi="仿宋_GB2312" w:eastAsia="仿宋_GB2312" w:cs="仿宋_GB2312"/>
          <w:b/>
          <w:bCs/>
          <w:color w:val="auto"/>
          <w:sz w:val="32"/>
          <w:szCs w:val="32"/>
          <w:highlight w:val="none"/>
        </w:rPr>
      </w:pPr>
    </w:p>
    <w:p>
      <w:pPr>
        <w:spacing w:line="560" w:lineRule="exact"/>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农业设施用地图</w:t>
      </w:r>
    </w:p>
    <w:p>
      <w:pPr>
        <w:spacing w:line="5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不低于1∶2000勘测定界图</w:t>
      </w:r>
    </w:p>
    <w:p>
      <w:pPr>
        <w:spacing w:line="560" w:lineRule="exact"/>
        <w:rPr>
          <w:rFonts w:ascii="仿宋_GB2312" w:hAnsi="仿宋_GB2312" w:eastAsia="仿宋_GB2312" w:cs="仿宋_GB2312"/>
          <w:color w:val="auto"/>
          <w:sz w:val="32"/>
          <w:szCs w:val="32"/>
          <w:highlight w:val="none"/>
        </w:rPr>
      </w:pPr>
    </w:p>
    <w:p>
      <w:pPr>
        <w:spacing w:line="560" w:lineRule="exact"/>
        <w:rPr>
          <w:rFonts w:ascii="仿宋_GB2312" w:hAnsi="仿宋_GB2312" w:eastAsia="仿宋_GB2312" w:cs="仿宋_GB2312"/>
          <w:color w:val="auto"/>
          <w:sz w:val="32"/>
          <w:szCs w:val="32"/>
          <w:highlight w:val="none"/>
        </w:rPr>
      </w:pPr>
    </w:p>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（贴图件处）</w:t>
      </w:r>
    </w:p>
    <w:p>
      <w:pPr>
        <w:spacing w:line="560" w:lineRule="exact"/>
        <w:rPr>
          <w:rFonts w:ascii="仿宋_GB2312" w:hAnsi="仿宋_GB2312" w:eastAsia="仿宋_GB2312" w:cs="仿宋_GB2312"/>
          <w:color w:val="auto"/>
          <w:sz w:val="32"/>
          <w:szCs w:val="32"/>
          <w:highlight w:val="none"/>
        </w:rPr>
      </w:pPr>
    </w:p>
    <w:p>
      <w:pPr>
        <w:spacing w:line="560" w:lineRule="exact"/>
        <w:rPr>
          <w:rFonts w:ascii="仿宋_GB2312" w:hAnsi="仿宋_GB2312" w:eastAsia="仿宋_GB2312" w:cs="仿宋_GB2312"/>
          <w:color w:val="auto"/>
          <w:sz w:val="32"/>
          <w:szCs w:val="32"/>
          <w:highlight w:val="none"/>
        </w:rPr>
      </w:pPr>
    </w:p>
    <w:p>
      <w:pPr>
        <w:spacing w:line="560" w:lineRule="exact"/>
        <w:rPr>
          <w:rFonts w:ascii="仿宋_GB2312" w:hAnsi="仿宋_GB2312" w:eastAsia="仿宋_GB2312" w:cs="仿宋_GB2312"/>
          <w:color w:val="auto"/>
          <w:sz w:val="32"/>
          <w:szCs w:val="32"/>
          <w:highlight w:val="none"/>
        </w:rPr>
      </w:pP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说明：</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1.农业设施用地图应采用最新的土地利用现状图(局部)。图面顶端为图件名称和1:10000标准分幅图图幅号，左下角或左上角空白处加注图例，右下角加注主要坐标点坐标。底端左下角空白处加注制图员和制图日期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底端右下角空白处加注盖章日期并加盖区农业主管部门公章。</w:t>
      </w:r>
    </w:p>
    <w:p>
      <w:pPr>
        <w:widowControl/>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2.用地红线坐标采用最新年度土地变更调查数据成果、国土空间规划数据库统一的技术标准，采用2000国家大地坐标，高斯克吕格投影方式，3度分带(中央经线分别为111°、114°、117°）。</w:t>
      </w:r>
    </w:p>
    <w:p>
      <w:pPr>
        <w:adjustRightInd w:val="0"/>
        <w:snapToGrid w:val="0"/>
        <w:spacing w:line="560" w:lineRule="exact"/>
        <w:jc w:val="left"/>
        <w:rPr>
          <w:rFonts w:ascii="仿宋_GB2312" w:hAnsi="仿宋_GB2312" w:eastAsia="仿宋_GB2312" w:cs="仿宋_GB2312"/>
          <w:b/>
          <w:color w:val="auto"/>
          <w:sz w:val="32"/>
          <w:highlight w:val="none"/>
        </w:rPr>
      </w:pPr>
    </w:p>
    <w:p>
      <w:pPr>
        <w:spacing w:line="560" w:lineRule="exact"/>
        <w:jc w:val="left"/>
        <w:rPr>
          <w:rFonts w:ascii="仿宋_GB2312" w:hAnsi="仿宋_GB2312" w:eastAsia="仿宋_GB2312" w:cs="仿宋_GB2312"/>
          <w:b/>
          <w:color w:val="auto"/>
          <w:sz w:val="32"/>
          <w:highlight w:val="none"/>
        </w:rPr>
      </w:pPr>
    </w:p>
    <w:p>
      <w:bookmarkStart w:id="0" w:name="_GoBack"/>
      <w:bookmarkEnd w:id="0"/>
    </w:p>
    <w:sectPr>
      <w:headerReference r:id="rId4" w:type="first"/>
      <w:footerReference r:id="rId6" w:type="first"/>
      <w:headerReference r:id="rId3" w:type="default"/>
      <w:footerReference r:id="rId5" w:type="default"/>
      <w:pgSz w:w="11906" w:h="16838"/>
      <w:pgMar w:top="2098" w:right="1474" w:bottom="1985" w:left="158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简小标宋">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hint="eastAsia" w:ascii="仿宋_GB2312" w:hAnsi="宋体" w:eastAsia="仿宋_GB2312"/>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wordWrap w:val="0"/>
                            <w:jc w:val="right"/>
                          </w:pPr>
                          <w:r>
                            <w:rPr>
                              <w:rFonts w:hint="eastAsia" w:ascii="仿宋_GB2312" w:hAnsi="宋体" w:eastAsia="仿宋_GB2312"/>
                              <w:kern w:val="0"/>
                              <w:sz w:val="28"/>
                              <w:szCs w:val="21"/>
                            </w:rPr>
                            <w:t xml:space="preserve">- </w:t>
                          </w:r>
                          <w:r>
                            <w:rPr>
                              <w:rFonts w:hint="eastAsia" w:ascii="仿宋_GB2312" w:hAnsi="宋体" w:eastAsia="仿宋_GB2312"/>
                              <w:kern w:val="0"/>
                              <w:sz w:val="28"/>
                              <w:szCs w:val="21"/>
                            </w:rPr>
                            <w:fldChar w:fldCharType="begin"/>
                          </w:r>
                          <w:r>
                            <w:rPr>
                              <w:rFonts w:hint="eastAsia" w:ascii="仿宋_GB2312" w:hAnsi="宋体" w:eastAsia="仿宋_GB2312"/>
                              <w:kern w:val="0"/>
                              <w:sz w:val="28"/>
                              <w:szCs w:val="21"/>
                            </w:rPr>
                            <w:instrText xml:space="preserve"> PAGE </w:instrText>
                          </w:r>
                          <w:r>
                            <w:rPr>
                              <w:rFonts w:hint="eastAsia" w:ascii="仿宋_GB2312" w:hAnsi="宋体" w:eastAsia="仿宋_GB2312"/>
                              <w:kern w:val="0"/>
                              <w:sz w:val="28"/>
                              <w:szCs w:val="21"/>
                            </w:rPr>
                            <w:fldChar w:fldCharType="separate"/>
                          </w:r>
                          <w:r>
                            <w:rPr>
                              <w:rFonts w:ascii="仿宋_GB2312" w:hAnsi="宋体" w:eastAsia="仿宋_GB2312"/>
                              <w:kern w:val="0"/>
                              <w:sz w:val="28"/>
                              <w:szCs w:val="21"/>
                            </w:rPr>
                            <w:t>2</w:t>
                          </w:r>
                          <w:r>
                            <w:rPr>
                              <w:rFonts w:hint="eastAsia" w:ascii="仿宋_GB2312" w:hAnsi="宋体" w:eastAsia="仿宋_GB2312"/>
                              <w:kern w:val="0"/>
                              <w:sz w:val="28"/>
                              <w:szCs w:val="21"/>
                            </w:rPr>
                            <w:fldChar w:fldCharType="end"/>
                          </w:r>
                          <w:r>
                            <w:rPr>
                              <w:rFonts w:hint="eastAsia" w:ascii="仿宋_GB2312" w:hAnsi="宋体" w:eastAsia="仿宋_GB2312"/>
                              <w:kern w:val="0"/>
                              <w:sz w:val="28"/>
                              <w:szCs w:val="21"/>
                            </w:rPr>
                            <w:t xml:space="preserve"> -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xdAH5LQBAABUAwAADgAAAAAAAAABACAAAAA0AQAAZHJzL2Uyb0Rv&#10;Yy54bWxQSwUGAAAAAAYABgBZAQAAWgUAAAAA&#10;">
              <v:fill on="f" focussize="0,0"/>
              <v:stroke on="f"/>
              <v:imagedata o:title=""/>
              <o:lock v:ext="edit" aspectratio="f"/>
              <v:textbox inset="0mm,0mm,0mm,0mm" style="mso-fit-shape-to-text:t;">
                <w:txbxContent>
                  <w:p>
                    <w:pPr>
                      <w:pStyle w:val="6"/>
                      <w:wordWrap w:val="0"/>
                      <w:jc w:val="right"/>
                    </w:pPr>
                    <w:r>
                      <w:rPr>
                        <w:rFonts w:hint="eastAsia" w:ascii="仿宋_GB2312" w:hAnsi="宋体" w:eastAsia="仿宋_GB2312"/>
                        <w:kern w:val="0"/>
                        <w:sz w:val="28"/>
                        <w:szCs w:val="21"/>
                      </w:rPr>
                      <w:t xml:space="preserve">- </w:t>
                    </w:r>
                    <w:r>
                      <w:rPr>
                        <w:rFonts w:hint="eastAsia" w:ascii="仿宋_GB2312" w:hAnsi="宋体" w:eastAsia="仿宋_GB2312"/>
                        <w:kern w:val="0"/>
                        <w:sz w:val="28"/>
                        <w:szCs w:val="21"/>
                      </w:rPr>
                      <w:fldChar w:fldCharType="begin"/>
                    </w:r>
                    <w:r>
                      <w:rPr>
                        <w:rFonts w:hint="eastAsia" w:ascii="仿宋_GB2312" w:hAnsi="宋体" w:eastAsia="仿宋_GB2312"/>
                        <w:kern w:val="0"/>
                        <w:sz w:val="28"/>
                        <w:szCs w:val="21"/>
                      </w:rPr>
                      <w:instrText xml:space="preserve"> PAGE </w:instrText>
                    </w:r>
                    <w:r>
                      <w:rPr>
                        <w:rFonts w:hint="eastAsia" w:ascii="仿宋_GB2312" w:hAnsi="宋体" w:eastAsia="仿宋_GB2312"/>
                        <w:kern w:val="0"/>
                        <w:sz w:val="28"/>
                        <w:szCs w:val="21"/>
                      </w:rPr>
                      <w:fldChar w:fldCharType="separate"/>
                    </w:r>
                    <w:r>
                      <w:rPr>
                        <w:rFonts w:ascii="仿宋_GB2312" w:hAnsi="宋体" w:eastAsia="仿宋_GB2312"/>
                        <w:kern w:val="0"/>
                        <w:sz w:val="28"/>
                        <w:szCs w:val="21"/>
                      </w:rPr>
                      <w:t>2</w:t>
                    </w:r>
                    <w:r>
                      <w:rPr>
                        <w:rFonts w:hint="eastAsia" w:ascii="仿宋_GB2312" w:hAnsi="宋体" w:eastAsia="仿宋_GB2312"/>
                        <w:kern w:val="0"/>
                        <w:sz w:val="28"/>
                        <w:szCs w:val="21"/>
                      </w:rPr>
                      <w:fldChar w:fldCharType="end"/>
                    </w:r>
                    <w:r>
                      <w:rPr>
                        <w:rFonts w:hint="eastAsia" w:ascii="仿宋_GB2312" w:hAnsi="宋体" w:eastAsia="仿宋_GB2312"/>
                        <w:kern w:val="0"/>
                        <w:sz w:val="28"/>
                        <w:szCs w:val="21"/>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EGdgaC1AQAAVAMAAA4AAAAAAAAAAQAgAAAANAEAAGRycy9lMm9E&#10;b2MueG1sUEsFBgAAAAAGAAYAWQEAAFs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BDBEA2"/>
    <w:multiLevelType w:val="singleLevel"/>
    <w:tmpl w:val="FEBDBEA2"/>
    <w:lvl w:ilvl="0" w:tentative="0">
      <w:start w:val="1"/>
      <w:numFmt w:val="decimal"/>
      <w:pStyle w:val="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NDg2MmUyODcwNjExZjBmNTI0NjdlM2Q1MmIzYmEifQ=="/>
  </w:docVars>
  <w:rsids>
    <w:rsidRoot w:val="00000000"/>
    <w:rsid w:val="034C6DE7"/>
    <w:rsid w:val="04723121"/>
    <w:rsid w:val="26127F89"/>
    <w:rsid w:val="2FFE2246"/>
    <w:rsid w:val="49A17DE0"/>
    <w:rsid w:val="4BCD59E6"/>
    <w:rsid w:val="56A56921"/>
    <w:rsid w:val="6268246C"/>
    <w:rsid w:val="69E25B33"/>
    <w:rsid w:val="7DC662E7"/>
    <w:rsid w:val="7FA687E5"/>
    <w:rsid w:val="DF2F3EC4"/>
    <w:rsid w:val="F6FFFA9D"/>
    <w:rsid w:val="F76F3DA8"/>
    <w:rsid w:val="F77B1ED9"/>
    <w:rsid w:val="FFDEF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宋体" w:hAnsi="Calibri"/>
      <w:b/>
      <w:bCs/>
      <w:sz w:val="44"/>
    </w:rPr>
  </w:style>
  <w:style w:type="paragraph" w:styleId="3">
    <w:name w:val="Body Text First Indent"/>
    <w:basedOn w:val="2"/>
    <w:qFormat/>
    <w:uiPriority w:val="0"/>
    <w:pPr>
      <w:ind w:firstLine="100" w:firstLineChars="100"/>
    </w:pPr>
    <w:rPr>
      <w:rFonts w:eastAsia="文星简小标宋"/>
      <w:szCs w:val="20"/>
    </w:rPr>
  </w:style>
  <w:style w:type="paragraph" w:styleId="4">
    <w:name w:val="Plain Text"/>
    <w:basedOn w:val="1"/>
    <w:next w:val="5"/>
    <w:unhideWhenUsed/>
    <w:qFormat/>
    <w:uiPriority w:val="0"/>
    <w:rPr>
      <w:rFonts w:hint="eastAsia" w:ascii="宋体" w:hAnsi="Courier New"/>
      <w:szCs w:val="21"/>
    </w:rPr>
  </w:style>
  <w:style w:type="paragraph" w:styleId="5">
    <w:name w:val="List Number 5"/>
    <w:basedOn w:val="1"/>
    <w:qFormat/>
    <w:uiPriority w:val="0"/>
    <w:pPr>
      <w:numPr>
        <w:ilvl w:val="0"/>
        <w:numId w:val="1"/>
      </w:numPr>
    </w:pPr>
  </w:style>
  <w:style w:type="paragraph" w:styleId="6">
    <w:name w:val="footer"/>
    <w:basedOn w:val="1"/>
    <w:qFormat/>
    <w:uiPriority w:val="0"/>
    <w:pPr>
      <w:tabs>
        <w:tab w:val="center" w:pos="4153"/>
        <w:tab w:val="right" w:pos="8306"/>
      </w:tabs>
      <w:snapToGrid w:val="0"/>
      <w:jc w:val="left"/>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01"/>
    <w:basedOn w:val="9"/>
    <w:qFormat/>
    <w:uiPriority w:val="0"/>
    <w:rPr>
      <w:rFonts w:hint="eastAsia" w:ascii="宋体" w:hAnsi="宋体" w:eastAsia="宋体" w:cs="宋体"/>
      <w:color w:val="000000"/>
      <w:sz w:val="24"/>
      <w:szCs w:val="24"/>
      <w:u w:val="none"/>
    </w:rPr>
  </w:style>
  <w:style w:type="character" w:customStyle="1" w:styleId="11">
    <w:name w:val="font11"/>
    <w:basedOn w:val="9"/>
    <w:qFormat/>
    <w:uiPriority w:val="0"/>
    <w:rPr>
      <w:rFonts w:hint="eastAsia" w:ascii="宋体" w:hAnsi="宋体" w:eastAsia="宋体" w:cs="宋体"/>
      <w:color w:val="000000"/>
      <w:sz w:val="24"/>
      <w:szCs w:val="24"/>
      <w:u w:val="none"/>
    </w:rPr>
  </w:style>
  <w:style w:type="paragraph" w:styleId="12">
    <w:name w:val="List Paragraph"/>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7569</Words>
  <Characters>7761</Characters>
  <Lines>0</Lines>
  <Paragraphs>0</Paragraphs>
  <TotalTime>17</TotalTime>
  <ScaleCrop>false</ScaleCrop>
  <LinksUpToDate>false</LinksUpToDate>
  <CharactersWithSpaces>7793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2024-10-30T03:23:00Z</dcterms:created>
  <dc:creator>lenovo</dc:creator>
  <cp:lastModifiedBy>lvlian</cp:lastModifiedBy>
  <cp:lastPrinted>2024-11-08T00:27:00Z</cp:lastPrinted>
  <dcterms:modified xsi:type="dcterms:W3CDTF">2024-11-14T15:58:35Z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B108B7A9C46F4B4E89F070F77A23EE29_12</vt:lpwstr>
  </property>
</Properties>
</file>