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outlineLvl w:val="1"/>
        <w:rPr>
          <w:rFonts w:ascii="黑体" w:hAnsi="黑体" w:eastAsia="黑体" w:cs="黑体"/>
          <w:bCs/>
          <w:color w:val="auto"/>
          <w:sz w:val="32"/>
          <w:highlight w:val="none"/>
        </w:rPr>
      </w:pPr>
      <mc:AlternateContent>
        <mc:Choice Requires="wpsCustomData">
          <wpsCustomData:docfieldStart id="0" docfieldname="yincang" hidden="false" print="true" readonly="false" index="31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黑体" w:hAnsi="黑体" w:eastAsia="黑体" w:cs="黑体"/>
          <w:bCs/>
          <w:color w:val="auto"/>
          <w:sz w:val="32"/>
          <w:highlight w:val="none"/>
        </w:rPr>
        <w:t>附件2</w:t>
      </w:r>
    </w:p>
    <w:p>
      <w:pPr>
        <w:adjustRightInd w:val="0"/>
        <w:spacing w:line="560" w:lineRule="exact"/>
        <w:jc w:val="center"/>
        <w:rPr>
          <w:rFonts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水产养殖设施用地正负面管理清单</w:t>
      </w:r>
    </w:p>
    <w:tbl>
      <w:tblPr>
        <w:tblStyle w:val="7"/>
        <w:tblW w:w="13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550"/>
        <w:gridCol w:w="501"/>
        <w:gridCol w:w="2711"/>
        <w:gridCol w:w="4553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19" w:type="dxa"/>
            <w:vMerge w:val="restart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大类</w:t>
            </w:r>
          </w:p>
        </w:tc>
        <w:tc>
          <w:tcPr>
            <w:tcW w:w="550" w:type="dxa"/>
            <w:vMerge w:val="restart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中类</w:t>
            </w:r>
          </w:p>
        </w:tc>
        <w:tc>
          <w:tcPr>
            <w:tcW w:w="501" w:type="dxa"/>
            <w:vMerge w:val="restart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小类</w:t>
            </w:r>
          </w:p>
        </w:tc>
        <w:tc>
          <w:tcPr>
            <w:tcW w:w="2711" w:type="dxa"/>
            <w:vMerge w:val="restart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设施名称</w:t>
            </w:r>
          </w:p>
        </w:tc>
        <w:tc>
          <w:tcPr>
            <w:tcW w:w="9525" w:type="dxa"/>
            <w:gridSpan w:val="2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管理清单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11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正面管理清单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负面管理清单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519" w:type="dxa"/>
            <w:vMerge w:val="restart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养殖业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40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养殖业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40"/>
                <w:szCs w:val="40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养殖业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养殖业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2"/>
              <w:rPr>
                <w:rFonts w:hint="default" w:ascii="宋体" w:hAnsi="Calibri" w:eastAsia="宋体" w:cs="Times New Roman"/>
                <w:sz w:val="15"/>
                <w:szCs w:val="15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养殖业</w:t>
            </w: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养殖业</w:t>
            </w: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养殖业</w:t>
            </w: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养殖业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restart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pStyle w:val="2"/>
              <w:jc w:val="both"/>
              <w:rPr>
                <w:rFonts w:ascii="宋体" w:hAnsi="Calibri" w:eastAsia="宋体" w:cs="Times New Roman"/>
                <w:kern w:val="2"/>
                <w:sz w:val="13"/>
                <w:szCs w:val="13"/>
                <w:lang w:bidi="ar"/>
              </w:rPr>
            </w:pPr>
          </w:p>
          <w:p>
            <w:pPr>
              <w:pStyle w:val="2"/>
              <w:jc w:val="both"/>
              <w:rPr>
                <w:rFonts w:ascii="宋体" w:hAnsi="Calibri" w:eastAsia="宋体" w:cs="Times New Roman"/>
                <w:kern w:val="2"/>
                <w:sz w:val="13"/>
                <w:szCs w:val="13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pStyle w:val="2"/>
              <w:rPr>
                <w:sz w:val="22"/>
                <w:szCs w:val="22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  <w:p>
            <w:pPr>
              <w:pStyle w:val="2"/>
              <w:rPr>
                <w:rFonts w:ascii="宋体" w:hAnsi="Calibri" w:eastAsia="宋体" w:cs="Times New Roman"/>
                <w:kern w:val="2"/>
                <w:sz w:val="18"/>
                <w:szCs w:val="18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pStyle w:val="2"/>
              <w:rPr>
                <w:rFonts w:hint="default" w:ascii="宋体" w:hAnsi="Calibri" w:eastAsia="宋体" w:cs="Times New Roman"/>
                <w:kern w:val="2"/>
                <w:sz w:val="16"/>
                <w:szCs w:val="16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  <w:p>
            <w:pPr>
              <w:pStyle w:val="2"/>
              <w:rPr>
                <w:rFonts w:hint="default" w:ascii="宋体" w:hAnsi="Calibri" w:eastAsia="宋体" w:cs="Times New Roman"/>
                <w:kern w:val="2"/>
                <w:sz w:val="20"/>
                <w:szCs w:val="20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</w:t>
            </w: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pStyle w:val="2"/>
              <w:rPr>
                <w:rFonts w:hint="default" w:ascii="宋体" w:hAnsi="Calibri" w:eastAsia="宋体" w:cs="Times New Roman"/>
                <w:kern w:val="2"/>
                <w:sz w:val="16"/>
                <w:szCs w:val="16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</w:t>
            </w: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3"/>
                <w:szCs w:val="13"/>
                <w:highlight w:val="none"/>
                <w:lang w:bidi="ar"/>
              </w:rPr>
            </w:pPr>
          </w:p>
          <w:p>
            <w:pPr>
              <w:pStyle w:val="2"/>
              <w:rPr>
                <w:rFonts w:hint="default" w:ascii="宋体" w:hAnsi="Calibri" w:eastAsia="宋体" w:cs="Times New Roman"/>
                <w:kern w:val="2"/>
                <w:sz w:val="11"/>
                <w:szCs w:val="11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</w:t>
            </w: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  <w:p>
            <w:pPr>
              <w:pStyle w:val="2"/>
              <w:rPr>
                <w:rFonts w:hint="default" w:ascii="宋体" w:hAnsi="Calibri" w:eastAsia="宋体" w:cs="Times New Roman"/>
                <w:kern w:val="2"/>
                <w:sz w:val="15"/>
                <w:szCs w:val="15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restart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生产设施用地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pStyle w:val="3"/>
              <w:spacing w:line="560" w:lineRule="exact"/>
              <w:ind w:firstLine="440"/>
              <w:rPr>
                <w:color w:val="auto"/>
                <w:highlight w:val="none"/>
              </w:rPr>
            </w:pPr>
          </w:p>
          <w:p>
            <w:pPr>
              <w:pStyle w:val="3"/>
              <w:spacing w:line="560" w:lineRule="exact"/>
              <w:ind w:firstLine="440"/>
              <w:rPr>
                <w:color w:val="auto"/>
                <w:highlight w:val="none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生产设施</w:t>
            </w: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  <w:t>用地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生产设施</w:t>
            </w: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  <w:t>用地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生产设施</w:t>
            </w: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  <w:t>用地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生产设施</w:t>
            </w: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  <w:t>用地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利用现状坑塘水面建设的养殖池塘（含保温大棚）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利用现状坑塘水面建设的养殖池塘（含保温大棚）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池塘护坡材料和塘基加固材料可采用环保薄膜、混凝土预制件、素混凝土等，混凝土护坡厚度一般小于8厘米。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有需要隔离土层时，池底可采用环保薄膜等技术实施隔离。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大棚骨架可采用竹、草、木或轻型钢管。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大棚顶盖可采用塑料薄膜等透光保温覆盖材料。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大棚骨架基础可采用墩形点式基础，置于原状土层或回填土上，其材质为混凝土，长度、宽度和深度均小于50厘米。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尽量利用荒山荒坡、滩涂等未利用地和低效闲置的土地，不占或少占耕地。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搭建或安装永久性承重地梁。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采用外来废渣等填充土地。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水产养殖禁养区内从事水产养殖业。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占用永久基本农田。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耕作层剥离后未妥善保存、利用。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生态沟渠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尽量利用原有灌排渠沟。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允许对沟内壁、沟顶两侧进行硬底化。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涉及移离耕地土层的应采用耕作层剥离技术措施。 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宽度大于或等于1米的沟渠。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占用永久基本农田。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耕作层剥离后未妥善保存、利用。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工厂化等陆基设施养殖场所（含繁育车间、养殖集装箱、设施养殖池、蓄储水池、循环水处理池等）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工厂化等陆基设施养殖场所（含繁育车间、养殖集装箱、设施养殖池、蓄储水池、循环水处理池等）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车间可采用轻钢结构、木结构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砖混结构或框架结构。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池塘边可直接设置支架类立体投料设备，高度3.5米以内。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允许车间及设施养殖池采用铺设预制板、水泥抹面等方式设置。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车间顶盖可采用锌瓦、玻璃钢瓦或塑料薄膜等覆盖材料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，也可采用水泥屋面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尽量利用荒山荒坡、滩涂等未利用地和低效闲置的土地，不占或少占耕地。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采用尽量减少破坏土地耕作层或容易恢复土地耕作层的方式，涉及移离耕地土层的应采用耕作层剥离技术措施。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建设多层的，须符合建设安全、生物防疫、生态环保等要求，并在用地协议中载明通过建设工程监理等方式落实安全生产责任。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8.可结合实际建设需要，融合智慧、绿色、低碳等建设理念。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占用永久基本农田。         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耕作层剥离后未妥善保存、利用。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采用外来废渣等填充土地。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水产养殖禁养区内从事水产养殖业。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用于非农业用途。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农村道路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尽量利用原有田坎、机耕路、生产道等。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可采取铺设预制板、水泥抹面、沙石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、硬化水泥路面或硬化铺装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等方式设置。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涉及移离耕地土层的应采用耕作层剥离技术措施。 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道路宽度小于或等于8米。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占用永久基本农田。         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耕作层剥离后未妥善保存、利用。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进排水渠道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尽量利用原有灌排渠沟。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.结合实际需要，可考虑通过尾水管道收集养殖尾水，在污水处理泵站处理后外排。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鼓励采取环保生态措施，预留生物通道等。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占用永久基本农田。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耕作层剥离后未妥善保存、利用。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5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restart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辅助设施用地</w:t>
            </w: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辅助设施用地</w:t>
            </w: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opLinePunct/>
              <w:snapToGri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辅助设施用地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生产看护房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层数应为单层，高度应小于4米。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每处占地面积应不超过15平方米。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建筑形式应为活动板房、集装箱。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采取架空、铺设预制板（木板或混凝土预制件等）环保薄膜等方式设置。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搭建或安装永久性承重地梁。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建筑形式为砖混或钢筋混凝土结构。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占用永久基本农田。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耕作层剥离后未妥善保存、利用。         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水产养殖禁养区内从事水产养殖业。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辅助设施用地规模超过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设施农业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项目用地规模15%，或用地面积超过30亩。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用于非农业用途。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0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尾水处理设施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有需要隔离土层时，可采用环保薄膜等技术实施隔离。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允许对过滤坝硬底化。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尽量利用荒山荒坡、滩涂等未利用地和低效闲置的土地，不占或少占耕地。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采用尽量减少破坏土地耕作层或容易恢复土地耕作层的方式，涉及移离耕地土层的应采用耕作层剥离技术措施。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占用永久基本农田。        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耕作层剥离后未妥善保存、利用。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水产养殖禁养区内从事水产养殖业。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辅助设施用地规模超过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设施农业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项目用地规模15%，或用地面积超过30亩。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用于非农业用途。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11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田间冷链仓库、设备管理用房（含水泵配电管理用房等）、初级分拣用房、检验检疫监测室、临时存储用房、必要管理用房，动物疫病虫害防控处理等技术设施，设备、原料、农业生产资料和农业机械临时存储和维修车间用地</w:t>
            </w:r>
          </w:p>
        </w:tc>
        <w:tc>
          <w:tcPr>
            <w:tcW w:w="4553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尽量利用荒山荒坡、滩涂等未利用地和低效闲置的土地，不占或少占耕地。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采用尽量减少破坏土地耕作层或容易恢复土地耕作层的方式，涉及移离耕地土层的应采用耕作层剥离技术措施。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鼓励按照节约集约用地原则，结合养殖需要，集中建设兼有多种功能的用房。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建设多层的，须符合建设安全、生物防疫、生态环保等要求，并在用地协议中载明通过建设工程监理等方式落实安全生产责任。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占用永久基本农田。         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耕作层剥离后未妥善保存、利用。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水产养殖禁养区内从事水产养殖业。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辅助设施用地规模超过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设施农业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项目用地规模15%，或用地面积超过30亩。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用于非农业用途。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6" w:type="dxa"/>
            <w:gridSpan w:val="6"/>
            <w:noWrap w:val="0"/>
            <w:vAlign w:val="center"/>
          </w:tcPr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备注：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1.按照节约集约用地原则，鼓励建设多层现代化水产养殖设施，应满足结构安全的要求； 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2.根据实际生产需要，支持采用先进生产工艺或设备，应满足生态环保的要求； </w:t>
            </w:r>
          </w:p>
          <w:p>
            <w:pPr>
              <w:topLinePunct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3.倡导在工厂化等陆基设施养殖场所规划建设中，融入绿色低碳、智慧高效的发展理念。</w:t>
            </w:r>
          </w:p>
        </w:tc>
      </w:tr>
    </w:tbl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8" w:right="2098" w:bottom="1474" w:left="1985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ascii="仿宋_GB2312" w:hAnsi="宋体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t xml:space="preserve"> - 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xdAH5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hAnsi="宋体" w:eastAsia="仿宋_GB2312"/>
                        <w:kern w:val="0"/>
                        <w:sz w:val="28"/>
                        <w:szCs w:val="21"/>
                      </w:rPr>
                      <w:t>2</w:t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t xml:space="preserve"> -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EGdgaC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DBEA2"/>
    <w:multiLevelType w:val="singleLevel"/>
    <w:tmpl w:val="FEBDBEA2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Dg2MmUyODcwNjExZjBmNTI0NjdlM2Q1MmIzYmEifQ=="/>
  </w:docVars>
  <w:rsids>
    <w:rsidRoot w:val="00000000"/>
    <w:rsid w:val="034C6DE7"/>
    <w:rsid w:val="04723121"/>
    <w:rsid w:val="26127F89"/>
    <w:rsid w:val="2FFE2246"/>
    <w:rsid w:val="49A17DE0"/>
    <w:rsid w:val="4BCD59E6"/>
    <w:rsid w:val="56A56921"/>
    <w:rsid w:val="6268246C"/>
    <w:rsid w:val="69E25B33"/>
    <w:rsid w:val="7DC662E7"/>
    <w:rsid w:val="7F744718"/>
    <w:rsid w:val="DF2F3EC4"/>
    <w:rsid w:val="F6FFFA9D"/>
    <w:rsid w:val="F76F3DA8"/>
    <w:rsid w:val="FFDB74D2"/>
    <w:rsid w:val="FFDEF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Calibri"/>
      <w:b/>
      <w:bCs/>
      <w:sz w:val="44"/>
    </w:rPr>
  </w:style>
  <w:style w:type="paragraph" w:styleId="3">
    <w:name w:val="Body Text First Indent"/>
    <w:basedOn w:val="2"/>
    <w:qFormat/>
    <w:uiPriority w:val="0"/>
    <w:pPr>
      <w:ind w:firstLine="100" w:firstLineChars="100"/>
    </w:pPr>
    <w:rPr>
      <w:rFonts w:eastAsia="文星简小标宋"/>
      <w:szCs w:val="20"/>
    </w:rPr>
  </w:style>
  <w:style w:type="paragraph" w:styleId="4">
    <w:name w:val="Plain Text"/>
    <w:basedOn w:val="1"/>
    <w:next w:val="5"/>
    <w:unhideWhenUsed/>
    <w:qFormat/>
    <w:uiPriority w:val="0"/>
    <w:rPr>
      <w:rFonts w:hint="eastAsia" w:ascii="宋体" w:hAnsi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7569</Words>
  <Characters>7761</Characters>
  <Lines>0</Lines>
  <Paragraphs>0</Paragraphs>
  <TotalTime>18</TotalTime>
  <ScaleCrop>false</ScaleCrop>
  <LinksUpToDate>false</LinksUpToDate>
  <CharactersWithSpaces>7793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2024-10-30T11:23:00Z</dcterms:created>
  <dc:creator>lenovo</dc:creator>
  <cp:lastModifiedBy>lvlian</cp:lastModifiedBy>
  <cp:lastPrinted>2024-11-08T08:27:00Z</cp:lastPrinted>
  <dcterms:modified xsi:type="dcterms:W3CDTF">2024-11-14T16:06:52Z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B108B7A9C46F4B4E89F070F77A23EE29_12</vt:lpwstr>
  </property>
</Properties>
</file>