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sz w:val="32"/>
          <w:szCs w:val="32"/>
        </w:rPr>
      </w:pPr>
      <w:r>
        <w:rPr>
          <w:rFonts w:hint="eastAsia" w:ascii="黑体" w:hAnsi="宋体" w:eastAsia="黑体"/>
          <w:sz w:val="32"/>
          <w:szCs w:val="32"/>
        </w:rPr>
        <w:t>服务类采购需求</w:t>
      </w:r>
    </w:p>
    <w:p>
      <w:pPr>
        <w:jc w:val="center"/>
        <w:rPr>
          <w:rFonts w:ascii="黑体" w:hAnsi="宋体" w:eastAsia="黑体"/>
          <w:sz w:val="32"/>
          <w:szCs w:val="32"/>
        </w:rPr>
      </w:pPr>
    </w:p>
    <w:tbl>
      <w:tblPr>
        <w:tblStyle w:val="10"/>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84"/>
        <w:gridCol w:w="3588"/>
        <w:gridCol w:w="128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项目名称</w:t>
            </w:r>
          </w:p>
        </w:tc>
        <w:tc>
          <w:tcPr>
            <w:tcW w:w="3588" w:type="dxa"/>
          </w:tcPr>
          <w:p>
            <w:pPr>
              <w:jc w:val="left"/>
              <w:rPr>
                <w:szCs w:val="21"/>
              </w:rPr>
            </w:pPr>
            <w:r>
              <w:rPr>
                <w:rFonts w:hint="eastAsia"/>
                <w:szCs w:val="21"/>
                <w:lang w:val="en-US" w:eastAsia="zh-CN"/>
              </w:rPr>
              <w:t>资产管理</w:t>
            </w:r>
            <w:r>
              <w:rPr>
                <w:rFonts w:hint="eastAsia"/>
                <w:szCs w:val="21"/>
              </w:rPr>
              <w:t>服务</w:t>
            </w:r>
            <w:bookmarkStart w:id="4" w:name="_GoBack"/>
            <w:bookmarkEnd w:id="4"/>
          </w:p>
        </w:tc>
        <w:tc>
          <w:tcPr>
            <w:tcW w:w="1281" w:type="dxa"/>
          </w:tcPr>
          <w:p>
            <w:pPr>
              <w:rPr>
                <w:szCs w:val="21"/>
              </w:rPr>
            </w:pPr>
            <w:r>
              <w:rPr>
                <w:szCs w:val="21"/>
              </w:rPr>
              <w:t>采购类型</w:t>
            </w:r>
          </w:p>
        </w:tc>
        <w:tc>
          <w:tcPr>
            <w:tcW w:w="2881" w:type="dxa"/>
          </w:tcPr>
          <w:p>
            <w:pPr>
              <w:rPr>
                <w:szCs w:val="21"/>
              </w:rPr>
            </w:pPr>
            <w:r>
              <w:rPr>
                <w:rFonts w:hint="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采购人名称</w:t>
            </w:r>
          </w:p>
        </w:tc>
        <w:tc>
          <w:tcPr>
            <w:tcW w:w="3588" w:type="dxa"/>
          </w:tcPr>
          <w:p>
            <w:pPr>
              <w:jc w:val="left"/>
              <w:rPr>
                <w:szCs w:val="21"/>
              </w:rPr>
            </w:pPr>
            <w:r>
              <w:rPr>
                <w:rFonts w:hint="eastAsia" w:ascii="宋体" w:hAnsi="宋体"/>
                <w:bCs/>
                <w:szCs w:val="21"/>
              </w:rPr>
              <w:t>深圳市海洋综合执法支队</w:t>
            </w:r>
          </w:p>
        </w:tc>
        <w:tc>
          <w:tcPr>
            <w:tcW w:w="1281" w:type="dxa"/>
          </w:tcPr>
          <w:p>
            <w:pPr>
              <w:rPr>
                <w:szCs w:val="21"/>
              </w:rPr>
            </w:pPr>
            <w:r>
              <w:rPr>
                <w:szCs w:val="21"/>
              </w:rPr>
              <w:t>采购方式</w:t>
            </w:r>
          </w:p>
        </w:tc>
        <w:tc>
          <w:tcPr>
            <w:tcW w:w="2881" w:type="dxa"/>
          </w:tcPr>
          <w:p>
            <w:pPr>
              <w:rPr>
                <w:szCs w:val="21"/>
              </w:rPr>
            </w:pPr>
            <w:r>
              <w:rPr>
                <w:rFonts w:hint="eastAsia"/>
                <w:szCs w:val="21"/>
              </w:rPr>
              <w:t>自行采购（最低价法）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财政预算限额（元）</w:t>
            </w:r>
          </w:p>
        </w:tc>
        <w:tc>
          <w:tcPr>
            <w:tcW w:w="7750" w:type="dxa"/>
            <w:gridSpan w:val="3"/>
          </w:tcPr>
          <w:p>
            <w:pPr>
              <w:rPr>
                <w:szCs w:val="21"/>
              </w:rPr>
            </w:pPr>
            <w:r>
              <w:rPr>
                <w:rFonts w:hint="eastAsia" w:ascii="宋体" w:hAnsi="宋体"/>
                <w:bCs/>
                <w:szCs w:val="21"/>
              </w:rPr>
              <w:t>1</w:t>
            </w:r>
            <w:r>
              <w:rPr>
                <w:rFonts w:hint="eastAsia" w:ascii="宋体" w:hAnsi="宋体"/>
                <w:bCs/>
                <w:szCs w:val="21"/>
                <w:lang w:val="en-US" w:eastAsia="zh-CN"/>
              </w:rPr>
              <w:t>9.6</w:t>
            </w:r>
            <w:r>
              <w:rPr>
                <w:rFonts w:hint="eastAsia" w:ascii="宋体" w:hAnsi="宋体"/>
                <w:bCs/>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17" w:type="dxa"/>
            <w:gridSpan w:val="2"/>
          </w:tcPr>
          <w:p>
            <w:pPr>
              <w:rPr>
                <w:szCs w:val="21"/>
              </w:rPr>
            </w:pPr>
            <w:r>
              <w:rPr>
                <w:rFonts w:hint="eastAsia"/>
                <w:szCs w:val="21"/>
              </w:rPr>
              <w:t>项目背景</w:t>
            </w:r>
          </w:p>
        </w:tc>
        <w:tc>
          <w:tcPr>
            <w:tcW w:w="7750" w:type="dxa"/>
            <w:gridSpan w:val="3"/>
          </w:tcPr>
          <w:p>
            <w:pPr>
              <w:spacing w:line="360" w:lineRule="auto"/>
              <w:ind w:firstLine="420" w:firstLineChars="200"/>
              <w:rPr>
                <w:szCs w:val="21"/>
              </w:rPr>
            </w:pPr>
            <w:r>
              <w:rPr>
                <w:rFonts w:hint="eastAsia"/>
                <w:szCs w:val="21"/>
              </w:rPr>
              <w:t>一、项目背景</w:t>
            </w:r>
          </w:p>
          <w:p>
            <w:pPr>
              <w:widowControl/>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为进一步规范我支队国有资产管理，提高系统资产数据的准确性，杜绝账外资产，全面清理和掌握国有资产底数，从源头规避“底数不清、情况不明、产权归属不明确”等问题，根据《财政部关于加快将资产管理、决算和报告等业务纳入预算一体化的通知》（财办〔2022〕2号）、《深圳市人民政府办公厅关于印发深圳市行政事业性国有资产管理办法的通知》（深府办〔2022〕5号）、《深圳市财政局关于开展行政事业单位国有资产盘点清理工作的通知》（深财资〔2023〕6号）等要求，资产管理系统纳入预算一体化系统，并对资产管理业务规范和技术标准做出来明确要求；2022年12月底前，地方一体化系统实现软件功能整合，上报数由一体化系统产生，并通过汇总系统报送财政部。为保障资产系统部标改造后的平稳运行及资产业务的正常开展，需委托专业公司提供资产盘点清理工作，及资产系统部标改造后的技术支持工作。</w:t>
            </w:r>
          </w:p>
          <w:p>
            <w:pPr>
              <w:spacing w:line="360" w:lineRule="auto"/>
              <w:ind w:firstLine="420" w:firstLineChars="200"/>
              <w:rPr>
                <w:szCs w:val="21"/>
              </w:rPr>
            </w:pPr>
            <w:r>
              <w:rPr>
                <w:rFonts w:hint="eastAsia"/>
                <w:szCs w:val="21"/>
              </w:rPr>
              <w:t>二、项目目的</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1、全面摸清家底。定期对单位资产情况进行全面清理和清查，真实、完整地反映单位的资产状况，为加强单位固定资产监督管理奠定基础。</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2、加强固定资产管理。通过对单位固定资产进行实物清查，并与固定资产进行账务核对，确保账实相符；清理毁损报废财产，提高国有资产使用效率。</w:t>
            </w:r>
          </w:p>
          <w:p>
            <w:pPr>
              <w:spacing w:line="360" w:lineRule="auto"/>
              <w:ind w:firstLine="420" w:firstLineChars="200"/>
              <w:rPr>
                <w:szCs w:val="21"/>
              </w:rPr>
            </w:pPr>
            <w:r>
              <w:rPr>
                <w:rFonts w:hint="eastAsia" w:ascii="宋体" w:hAnsi="宋体" w:eastAsia="宋体" w:cs="宋体"/>
                <w:sz w:val="21"/>
                <w:szCs w:val="21"/>
              </w:rPr>
              <w:t>3、完善管理制度。对资产清查过程中发现的问题，结合单位实际情况认真分析，提出相应整改措施和实施计划，并协助单位进行资产的日常管理，建立健全的资产管理制度，防止单位资产“前清后乱”。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pPr>
              <w:jc w:val="center"/>
              <w:rPr>
                <w:szCs w:val="21"/>
              </w:rPr>
            </w:pPr>
            <w:r>
              <w:rPr>
                <w:rFonts w:hint="eastAsia" w:ascii="宋体" w:hAnsi="宋体" w:cs="宋体"/>
                <w:kern w:val="0"/>
                <w:szCs w:val="21"/>
              </w:rPr>
              <w:t>投标人资质要求</w:t>
            </w:r>
          </w:p>
        </w:tc>
        <w:tc>
          <w:tcPr>
            <w:tcW w:w="9334" w:type="dxa"/>
            <w:gridSpan w:val="4"/>
          </w:tcPr>
          <w:p>
            <w:pPr>
              <w:numPr>
                <w:ilvl w:val="0"/>
                <w:numId w:val="0"/>
              </w:numPr>
              <w:rPr>
                <w:rFonts w:hint="eastAsia" w:ascii="宋体" w:hAnsi="宋体" w:cs="宋体"/>
                <w:lang w:val="en-US" w:eastAsia="zh-CN"/>
              </w:rPr>
            </w:pPr>
            <w:r>
              <w:rPr>
                <w:rFonts w:hint="eastAsia" w:ascii="宋体" w:hAnsi="宋体" w:cs="宋体"/>
                <w:lang w:val="en-US" w:eastAsia="zh-CN"/>
              </w:rPr>
              <w:t>（1）具有独立法人资格或具有独立承担民事责任能力的其它组织（提供营业执照或事业单位法人证等法人证明扫描件，原件备查）。</w:t>
            </w:r>
          </w:p>
          <w:p>
            <w:pPr>
              <w:numPr>
                <w:ilvl w:val="0"/>
                <w:numId w:val="0"/>
              </w:numPr>
              <w:rPr>
                <w:rFonts w:hint="default" w:ascii="宋体" w:hAnsi="宋体" w:cs="宋体"/>
                <w:lang w:val="en-US" w:eastAsia="zh-CN"/>
              </w:rPr>
            </w:pPr>
            <w:r>
              <w:rPr>
                <w:rFonts w:hint="eastAsia" w:ascii="宋体" w:hAnsi="宋体" w:cs="宋体"/>
                <w:lang w:val="en-US" w:eastAsia="zh-CN"/>
              </w:rPr>
              <w:t>（2）本项目不接受联合体投标，</w:t>
            </w:r>
            <w:r>
              <w:rPr>
                <w:rFonts w:hint="eastAsia"/>
                <w:szCs w:val="21"/>
              </w:rPr>
              <w:t>不接受转包分包</w:t>
            </w:r>
            <w:r>
              <w:rPr>
                <w:rFonts w:hint="eastAsia" w:ascii="宋体" w:hAnsi="宋体" w:cs="宋体"/>
                <w:lang w:val="en-US" w:eastAsia="zh-CN"/>
              </w:rPr>
              <w:t>。</w:t>
            </w:r>
          </w:p>
          <w:p>
            <w:pPr>
              <w:numPr>
                <w:ilvl w:val="0"/>
                <w:numId w:val="0"/>
              </w:numPr>
              <w:rPr>
                <w:rFonts w:hint="eastAsia" w:ascii="宋体" w:hAnsi="宋体" w:cs="宋体"/>
                <w:lang w:val="en-US" w:eastAsia="zh-CN"/>
              </w:rPr>
            </w:pPr>
            <w:r>
              <w:rPr>
                <w:rFonts w:hint="eastAsia" w:ascii="宋体" w:hAnsi="宋体" w:cs="宋体"/>
                <w:lang w:val="en-US" w:eastAsia="zh-CN"/>
              </w:rPr>
              <w:t>（3）参与本项目投标前三年内，在经营活动中没有重大违法记录（由供应商在《政府采购投标及履约承诺函》中作出声明）。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（4）参与本项目政府采购活动时不存在被有关部门禁止参与政府采购活动且在有效期内的情况（由供应商在《政府采购投标及履约承诺函》中作出声明）。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（5）具备《中华人民共和国政府采购法》第二十二条第一款的条件（由供应商在《政府采购投标及履约承诺函》中作出声明）。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（6）未被列入失信被执行人、重大税收违法案件当事人名单、政府采购严重违法失信行为记录名单（由供应商在《政府采购投标及履约承诺函》中作出声明）。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注：“信用中国”、“中国政府采购网”、“深圳信用网”以及“深圳市政府采购监管网”为供应商信用信息的查询渠道，相关信息以开标当日的查询结果为准。</w:t>
            </w:r>
          </w:p>
          <w:p>
            <w:pPr>
              <w:numPr>
                <w:ilvl w:val="0"/>
                <w:numId w:val="0"/>
              </w:numPr>
              <w:rPr>
                <w:rFonts w:hint="eastAsia" w:ascii="宋体" w:hAnsi="宋体" w:cs="宋体"/>
                <w:lang w:val="en-US" w:eastAsia="zh-CN"/>
              </w:rPr>
            </w:pPr>
            <w:r>
              <w:rPr>
                <w:rFonts w:hint="eastAsia" w:ascii="宋体" w:hAnsi="宋体" w:cs="宋体"/>
                <w:lang w:val="en-US" w:eastAsia="zh-CN"/>
              </w:rPr>
              <w:t>（7）投标人须签署《政府采购投标及履约承诺函》，否则做废标处理。</w:t>
            </w:r>
          </w:p>
          <w:p>
            <w:pPr>
              <w:rPr>
                <w:szCs w:val="21"/>
              </w:rPr>
            </w:pPr>
            <w:r>
              <w:rPr>
                <w:rFonts w:hint="eastAsia" w:ascii="宋体" w:hAnsi="宋体" w:cs="宋体"/>
                <w:lang w:val="en-US" w:eastAsia="zh-CN"/>
              </w:rPr>
              <w:t>（8）投标人必须是在中华人民共和国境内注册的具有合法经营资格的独立法人；非深圳市注册的投标人需在深圳市具有合法登记的分支机构及固定的场所和服务人员。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0" w:hRule="atLeast"/>
        </w:trPr>
        <w:tc>
          <w:tcPr>
            <w:tcW w:w="433" w:type="dxa"/>
          </w:tcPr>
          <w:p>
            <w:pPr>
              <w:jc w:val="center"/>
              <w:rPr>
                <w:rFonts w:ascii="宋体" w:hAnsi="宋体" w:cs="宋体"/>
                <w:kern w:val="0"/>
                <w:szCs w:val="21"/>
              </w:rPr>
            </w:pPr>
            <w:r>
              <w:rPr>
                <w:rFonts w:hint="eastAsia" w:ascii="宋体" w:hAnsi="宋体" w:cs="宋体"/>
                <w:kern w:val="0"/>
                <w:szCs w:val="21"/>
              </w:rPr>
              <w:t>具体技术要求</w:t>
            </w:r>
          </w:p>
        </w:tc>
        <w:tc>
          <w:tcPr>
            <w:tcW w:w="9334" w:type="dxa"/>
            <w:gridSpan w:val="4"/>
          </w:tcPr>
          <w:p>
            <w:pPr>
              <w:spacing w:line="360" w:lineRule="auto"/>
              <w:ind w:firstLine="420" w:firstLineChars="200"/>
              <w:rPr>
                <w:szCs w:val="21"/>
              </w:rPr>
            </w:pPr>
            <w:r>
              <w:rPr>
                <w:rFonts w:hint="eastAsia"/>
                <w:szCs w:val="21"/>
              </w:rPr>
              <w:t>一、工作内容具体如下：</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协助完成资产系统数据整理工作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协助完成资产清查盘点工作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 xml:space="preserve">协助完成资产数据对账工作 </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4</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协助完成资产标签粘贴工作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5</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协助完成资产处置工作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6</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协助完成每年度资产上报工作</w:t>
            </w:r>
          </w:p>
          <w:p>
            <w:pPr>
              <w:numPr>
                <w:ilvl w:val="0"/>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7</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协助完成低值易耗品出入库管理工作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8</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协助完成资产节能管理工作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9</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协助完成物业管理工作</w:t>
            </w:r>
          </w:p>
          <w:p>
            <w:pPr>
              <w:numPr>
                <w:ilvl w:val="0"/>
                <w:numId w:val="0"/>
              </w:numPr>
              <w:spacing w:line="360" w:lineRule="auto"/>
              <w:ind w:firstLine="420" w:firstLineChars="200"/>
              <w:rPr>
                <w:rFonts w:ascii="仿宋_GB2312" w:hAnsi="仿宋_GB2312" w:eastAsia="仿宋_GB2312" w:cs="仿宋_GB2312"/>
                <w:b w:val="0"/>
                <w:bCs w:val="0"/>
                <w:color w:val="000000"/>
                <w:sz w:val="24"/>
                <w:szCs w:val="24"/>
              </w:rPr>
            </w:pPr>
            <w:r>
              <w:rPr>
                <w:rFonts w:hint="eastAsia" w:ascii="宋体" w:hAnsi="宋体" w:eastAsia="宋体" w:cs="宋体"/>
                <w:b w:val="0"/>
                <w:bCs w:val="0"/>
                <w:color w:val="000000"/>
                <w:sz w:val="21"/>
                <w:szCs w:val="21"/>
                <w:lang w:val="en-US" w:eastAsia="zh-CN"/>
              </w:rPr>
              <w:t>10</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协助完成其他资产管理工作</w:t>
            </w:r>
          </w:p>
          <w:p>
            <w:pPr>
              <w:spacing w:line="360" w:lineRule="auto"/>
              <w:ind w:firstLine="420" w:firstLineChars="200"/>
              <w:rPr>
                <w:szCs w:val="21"/>
              </w:rPr>
            </w:pPr>
            <w:r>
              <w:rPr>
                <w:rFonts w:hint="eastAsia"/>
                <w:szCs w:val="21"/>
              </w:rPr>
              <w:t>二、其它</w:t>
            </w:r>
          </w:p>
          <w:p>
            <w:pPr>
              <w:spacing w:line="360" w:lineRule="auto"/>
              <w:ind w:firstLine="420" w:firstLineChars="200"/>
              <w:rPr>
                <w:szCs w:val="21"/>
              </w:rPr>
            </w:pPr>
            <w:r>
              <w:rPr>
                <w:rFonts w:hint="eastAsia"/>
                <w:szCs w:val="21"/>
              </w:rPr>
              <w:t>1、参加公开招标各方应确保文件中的人员信息真实、有效；</w:t>
            </w:r>
          </w:p>
          <w:p>
            <w:pPr>
              <w:spacing w:line="360" w:lineRule="auto"/>
              <w:ind w:firstLine="420" w:firstLineChars="200"/>
              <w:rPr>
                <w:szCs w:val="21"/>
              </w:rPr>
            </w:pPr>
            <w:r>
              <w:rPr>
                <w:rFonts w:hint="eastAsia"/>
                <w:szCs w:val="21"/>
              </w:rPr>
              <w:t>2、投标方必须保守国家机密，不得泄漏采购方所提供的属国家秘密的信息和数据；未经采购方允许，不得使用或者以其它方式给任何第三方提供本项目的相关信息或数据；</w:t>
            </w:r>
          </w:p>
          <w:p>
            <w:pPr>
              <w:spacing w:line="360" w:lineRule="auto"/>
              <w:ind w:firstLine="420" w:firstLineChars="200"/>
              <w:rPr>
                <w:szCs w:val="21"/>
              </w:rPr>
            </w:pPr>
            <w:r>
              <w:rPr>
                <w:rFonts w:hint="eastAsia"/>
                <w:szCs w:val="21"/>
              </w:rPr>
              <w:t>3、中标方不得将项目非法分包或转包给任何单位和个人，否则采购方有权即刻终止合同，并要求中标人赔偿相应损失。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33" w:type="dxa"/>
          </w:tcPr>
          <w:p>
            <w:pPr>
              <w:jc w:val="center"/>
              <w:rPr>
                <w:rFonts w:ascii="宋体" w:hAnsi="宋体" w:cs="宋体"/>
                <w:kern w:val="0"/>
                <w:szCs w:val="21"/>
              </w:rPr>
            </w:pPr>
            <w:r>
              <w:rPr>
                <w:rFonts w:hint="eastAsia" w:ascii="宋体" w:hAnsi="宋体" w:cs="宋体"/>
                <w:kern w:val="0"/>
                <w:szCs w:val="21"/>
              </w:rPr>
              <w:t>商务需求</w:t>
            </w:r>
          </w:p>
        </w:tc>
        <w:tc>
          <w:tcPr>
            <w:tcW w:w="9334" w:type="dxa"/>
            <w:gridSpan w:val="4"/>
          </w:tcPr>
          <w:p>
            <w:pPr>
              <w:spacing w:line="360" w:lineRule="auto"/>
              <w:ind w:firstLine="420" w:firstLineChars="200"/>
              <w:rPr>
                <w:szCs w:val="21"/>
              </w:rPr>
            </w:pPr>
            <w:r>
              <w:rPr>
                <w:rFonts w:hint="eastAsia"/>
                <w:szCs w:val="21"/>
              </w:rPr>
              <w:t>一、项目服务要求</w:t>
            </w:r>
          </w:p>
          <w:p>
            <w:pPr>
              <w:spacing w:line="360" w:lineRule="auto"/>
              <w:ind w:firstLine="411" w:firstLineChars="196"/>
              <w:rPr>
                <w:szCs w:val="21"/>
              </w:rPr>
            </w:pPr>
            <w:bookmarkStart w:id="0" w:name="_Toc222480775"/>
            <w:bookmarkStart w:id="1" w:name="_Toc222751158"/>
            <w:r>
              <w:rPr>
                <w:rFonts w:hint="eastAsia"/>
                <w:szCs w:val="21"/>
              </w:rPr>
              <w:t>1、合同履行期间服务要求</w:t>
            </w:r>
          </w:p>
          <w:p>
            <w:pPr>
              <w:spacing w:line="360" w:lineRule="auto"/>
              <w:ind w:firstLine="420" w:firstLineChars="200"/>
              <w:rPr>
                <w:szCs w:val="21"/>
              </w:rPr>
            </w:pPr>
            <w:r>
              <w:rPr>
                <w:rFonts w:hint="eastAsia"/>
                <w:szCs w:val="21"/>
              </w:rPr>
              <w:t>1.1中标方应按合同要求按时、按质、按量推进项目工作；</w:t>
            </w:r>
          </w:p>
          <w:p>
            <w:pPr>
              <w:spacing w:line="360" w:lineRule="auto"/>
              <w:ind w:firstLine="420" w:firstLineChars="200"/>
              <w:rPr>
                <w:szCs w:val="21"/>
              </w:rPr>
            </w:pPr>
            <w:r>
              <w:rPr>
                <w:rFonts w:hint="eastAsia"/>
                <w:szCs w:val="21"/>
              </w:rPr>
              <w:t>1.2中标方项目组成员应按采购方的要求参加本项目审查和讨论的全部工作会议。</w:t>
            </w:r>
          </w:p>
          <w:p>
            <w:pPr>
              <w:spacing w:line="360" w:lineRule="auto"/>
              <w:ind w:firstLine="420" w:firstLineChars="200"/>
              <w:rPr>
                <w:szCs w:val="21"/>
              </w:rPr>
            </w:pPr>
            <w:r>
              <w:rPr>
                <w:rFonts w:hint="eastAsia"/>
                <w:szCs w:val="21"/>
              </w:rPr>
              <w:t>2、投标人及项目组人员资质要求</w:t>
            </w:r>
          </w:p>
          <w:p>
            <w:pPr>
              <w:spacing w:line="360" w:lineRule="auto"/>
              <w:ind w:firstLine="420" w:firstLineChars="200"/>
              <w:rPr>
                <w:szCs w:val="21"/>
              </w:rPr>
            </w:pPr>
            <w:r>
              <w:rPr>
                <w:rFonts w:hint="eastAsia"/>
                <w:szCs w:val="21"/>
              </w:rPr>
              <w:t>需为本项目安排至少1</w:t>
            </w:r>
            <w:r>
              <w:rPr>
                <w:rFonts w:hint="eastAsia"/>
                <w:szCs w:val="21"/>
                <w:lang w:val="en-US" w:eastAsia="zh-CN"/>
              </w:rPr>
              <w:t>名专业人员</w:t>
            </w:r>
            <w:r>
              <w:rPr>
                <w:rFonts w:hint="eastAsia"/>
                <w:szCs w:val="21"/>
              </w:rPr>
              <w:t>为单位提供</w:t>
            </w:r>
            <w:r>
              <w:rPr>
                <w:rFonts w:hint="eastAsia"/>
                <w:szCs w:val="21"/>
                <w:lang w:val="en-US" w:eastAsia="zh-CN"/>
              </w:rPr>
              <w:t>技术服务</w:t>
            </w:r>
            <w:r>
              <w:rPr>
                <w:rFonts w:hint="eastAsia"/>
                <w:szCs w:val="21"/>
              </w:rPr>
              <w:t>支持，项目团队成员需为投标单位员工。</w:t>
            </w:r>
          </w:p>
          <w:p>
            <w:pPr>
              <w:spacing w:line="360" w:lineRule="auto"/>
              <w:ind w:firstLine="420" w:firstLineChars="200"/>
              <w:rPr>
                <w:szCs w:val="21"/>
              </w:rPr>
            </w:pPr>
            <w:r>
              <w:rPr>
                <w:rFonts w:hint="eastAsia"/>
                <w:szCs w:val="21"/>
              </w:rPr>
              <w:t>3、服务的时间和地点</w:t>
            </w:r>
          </w:p>
          <w:p>
            <w:pPr>
              <w:spacing w:line="360" w:lineRule="auto"/>
              <w:ind w:firstLine="420" w:firstLineChars="200"/>
              <w:rPr>
                <w:rFonts w:hint="default" w:eastAsia="宋体"/>
                <w:szCs w:val="21"/>
                <w:lang w:val="en-US" w:eastAsia="zh-CN"/>
              </w:rPr>
            </w:pPr>
            <w:r>
              <w:rPr>
                <w:rFonts w:hint="eastAsia"/>
                <w:szCs w:val="21"/>
              </w:rPr>
              <w:t>3.1本项目服务周期为一年，服务具体开始时间由采购方于合同签订时确定；</w:t>
            </w:r>
            <w:r>
              <w:rPr>
                <w:rFonts w:hint="eastAsia"/>
                <w:szCs w:val="21"/>
                <w:lang w:val="en-US" w:eastAsia="zh-CN"/>
              </w:rPr>
              <w:t>本次招标一招三年有效，次年是否续签合同视上年合作情况定；</w:t>
            </w:r>
          </w:p>
          <w:p>
            <w:pPr>
              <w:spacing w:line="360" w:lineRule="auto"/>
              <w:ind w:firstLine="420" w:firstLineChars="200"/>
              <w:rPr>
                <w:szCs w:val="21"/>
              </w:rPr>
            </w:pPr>
            <w:r>
              <w:rPr>
                <w:rFonts w:hint="eastAsia"/>
                <w:szCs w:val="21"/>
              </w:rPr>
              <w:t>3.2项目的服务地点为采购方指定位置。</w:t>
            </w:r>
          </w:p>
          <w:p>
            <w:pPr>
              <w:spacing w:line="360" w:lineRule="auto"/>
              <w:ind w:firstLine="420" w:firstLineChars="200"/>
              <w:rPr>
                <w:szCs w:val="21"/>
              </w:rPr>
            </w:pPr>
            <w:r>
              <w:rPr>
                <w:rFonts w:hint="eastAsia"/>
                <w:szCs w:val="21"/>
              </w:rPr>
              <w:t>4、服务要求</w:t>
            </w:r>
          </w:p>
          <w:p>
            <w:pPr>
              <w:spacing w:line="360" w:lineRule="auto"/>
              <w:ind w:firstLine="420" w:firstLineChars="200"/>
              <w:rPr>
                <w:szCs w:val="21"/>
              </w:rPr>
            </w:pPr>
            <w:r>
              <w:rPr>
                <w:rFonts w:hint="eastAsia"/>
                <w:szCs w:val="21"/>
              </w:rPr>
              <w:t>4.1投标人需对整体项目进行总报价，报价包含项目服务的所有费用；</w:t>
            </w:r>
          </w:p>
          <w:p>
            <w:pPr>
              <w:spacing w:line="360" w:lineRule="auto"/>
              <w:ind w:firstLine="420" w:firstLineChars="200"/>
              <w:rPr>
                <w:szCs w:val="21"/>
              </w:rPr>
            </w:pPr>
            <w:r>
              <w:rPr>
                <w:rFonts w:hint="eastAsia"/>
                <w:szCs w:val="21"/>
              </w:rPr>
              <w:t>4.2投标人需保证对所接触项目的全部数据资料保密，不得随意泄露。</w:t>
            </w:r>
          </w:p>
          <w:p>
            <w:pPr>
              <w:spacing w:line="360" w:lineRule="auto"/>
              <w:ind w:firstLine="420" w:firstLineChars="200"/>
              <w:rPr>
                <w:szCs w:val="21"/>
              </w:rPr>
            </w:pPr>
            <w:r>
              <w:rPr>
                <w:rFonts w:hint="eastAsia"/>
                <w:szCs w:val="21"/>
              </w:rPr>
              <w:t>5、付款方式</w:t>
            </w:r>
          </w:p>
          <w:p>
            <w:pPr>
              <w:spacing w:after="156" w:afterLines="50" w:line="360" w:lineRule="auto"/>
              <w:ind w:firstLine="420" w:firstLineChars="200"/>
              <w:rPr>
                <w:rFonts w:ascii="宋体" w:hAnsi="宋体"/>
                <w:szCs w:val="21"/>
              </w:rPr>
            </w:pPr>
            <w:r>
              <w:rPr>
                <w:rFonts w:hint="eastAsia" w:ascii="宋体" w:hAnsi="宋体"/>
                <w:szCs w:val="21"/>
              </w:rPr>
              <w:t>第一期：合同签订且乙方向甲方提供等额增值税发票后一周内，甲方向乙方支付合同总额30％；</w:t>
            </w:r>
            <w:r>
              <w:rPr>
                <w:rFonts w:hint="eastAsia" w:ascii="宋体" w:hAnsi="宋体"/>
                <w:szCs w:val="21"/>
              </w:rPr>
              <w:br w:type="textWrapping"/>
            </w:r>
            <w:r>
              <w:rPr>
                <w:rFonts w:hint="eastAsia" w:ascii="宋体" w:hAnsi="宋体"/>
                <w:szCs w:val="21"/>
              </w:rPr>
              <w:t xml:space="preserve">   第二期：实施人员进场服务3个月后，甲方向乙方支付合同总额60％；</w:t>
            </w:r>
          </w:p>
          <w:p>
            <w:pPr>
              <w:spacing w:line="360" w:lineRule="auto"/>
              <w:ind w:firstLine="420" w:firstLineChars="200"/>
              <w:rPr>
                <w:rFonts w:hint="eastAsia" w:ascii="宋体" w:hAnsi="宋体" w:eastAsia="宋体"/>
                <w:szCs w:val="21"/>
                <w:lang w:eastAsia="zh-CN"/>
              </w:rPr>
            </w:pPr>
            <w:r>
              <w:rPr>
                <w:rFonts w:hint="eastAsia" w:ascii="宋体" w:hAnsi="宋体"/>
                <w:szCs w:val="21"/>
              </w:rPr>
              <w:t>第三期：合同服务完成并经甲方验收合格且乙方向甲方提供等额增值税发票后，甲方向乙方</w:t>
            </w:r>
            <w:r>
              <w:rPr>
                <w:rFonts w:hint="eastAsia" w:ascii="宋体" w:hAnsi="宋体"/>
                <w:szCs w:val="21"/>
                <w:lang w:val="en-US" w:eastAsia="zh-CN"/>
              </w:rPr>
              <w:t>尾款。</w:t>
            </w:r>
          </w:p>
          <w:p>
            <w:pPr>
              <w:spacing w:line="360" w:lineRule="auto"/>
              <w:ind w:firstLine="420" w:firstLineChars="200"/>
              <w:rPr>
                <w:szCs w:val="21"/>
              </w:rPr>
            </w:pPr>
            <w:r>
              <w:rPr>
                <w:rFonts w:hint="eastAsia"/>
                <w:szCs w:val="21"/>
              </w:rPr>
              <w:t>二、投标报价要求</w:t>
            </w:r>
            <w:bookmarkEnd w:id="0"/>
            <w:bookmarkEnd w:id="1"/>
          </w:p>
          <w:p>
            <w:pPr>
              <w:spacing w:line="360" w:lineRule="auto"/>
              <w:ind w:firstLine="420" w:firstLineChars="200"/>
              <w:rPr>
                <w:szCs w:val="21"/>
              </w:rPr>
            </w:pPr>
            <w:bookmarkStart w:id="2" w:name="_Toc222480776"/>
            <w:bookmarkStart w:id="3" w:name="_Toc222751159"/>
            <w:r>
              <w:rPr>
                <w:rFonts w:hint="eastAsia"/>
                <w:szCs w:val="21"/>
              </w:rPr>
              <w:t>1、规划投标报价应依据国家、省、市有关收费标准制定；</w:t>
            </w:r>
          </w:p>
          <w:p>
            <w:pPr>
              <w:spacing w:line="360" w:lineRule="auto"/>
              <w:ind w:firstLine="420" w:firstLineChars="200"/>
              <w:rPr>
                <w:szCs w:val="21"/>
              </w:rPr>
            </w:pPr>
            <w:r>
              <w:rPr>
                <w:rFonts w:hint="eastAsia"/>
                <w:szCs w:val="21"/>
              </w:rPr>
              <w:t>2、投标方应提供报价详细清单（含报价依据及其详细计算过程等）；</w:t>
            </w:r>
          </w:p>
          <w:p>
            <w:pPr>
              <w:spacing w:line="360" w:lineRule="auto"/>
              <w:ind w:firstLine="420" w:firstLineChars="200"/>
              <w:rPr>
                <w:szCs w:val="21"/>
              </w:rPr>
            </w:pPr>
            <w:r>
              <w:rPr>
                <w:rFonts w:hint="eastAsia"/>
                <w:szCs w:val="21"/>
              </w:rPr>
              <w:t>3、投标方不得以低于成本报价进行竞标。</w:t>
            </w:r>
          </w:p>
          <w:bookmarkEnd w:id="2"/>
          <w:bookmarkEnd w:id="3"/>
          <w:p>
            <w:pPr>
              <w:spacing w:line="360" w:lineRule="auto"/>
              <w:ind w:firstLine="420" w:firstLineChars="200"/>
              <w:rPr>
                <w:rFonts w:ascii="宋体" w:hAnsi="宋体" w:cs="宋体"/>
                <w:kern w:val="0"/>
                <w:szCs w:val="21"/>
              </w:rPr>
            </w:pPr>
            <w:r>
              <w:rPr>
                <w:rFonts w:hint="eastAsia" w:ascii="宋体" w:hAnsi="宋体" w:cs="宋体"/>
                <w:kern w:val="0"/>
                <w:szCs w:val="21"/>
              </w:rPr>
              <w:t>4、中标价为项目包干价，超出部分不予结算。</w:t>
            </w:r>
          </w:p>
          <w:p>
            <w:pPr>
              <w:spacing w:line="360" w:lineRule="auto"/>
              <w:ind w:firstLine="420" w:firstLineChars="200"/>
              <w:rPr>
                <w:rFonts w:ascii="宋体" w:hAnsi="宋体" w:cs="宋体"/>
                <w:kern w:val="0"/>
                <w:szCs w:val="21"/>
              </w:rPr>
            </w:pPr>
            <w:r>
              <w:rPr>
                <w:rFonts w:hint="eastAsia" w:ascii="宋体" w:hAnsi="宋体" w:cs="宋体"/>
                <w:kern w:val="0"/>
                <w:szCs w:val="21"/>
              </w:rPr>
              <w:t>三、中标原则</w:t>
            </w:r>
          </w:p>
          <w:p>
            <w:pPr>
              <w:spacing w:line="360" w:lineRule="auto"/>
              <w:rPr>
                <w:rFonts w:ascii="宋体" w:hAnsi="宋体" w:cs="宋体"/>
                <w:kern w:val="0"/>
                <w:szCs w:val="21"/>
              </w:rPr>
            </w:pPr>
            <w:r>
              <w:rPr>
                <w:rFonts w:hint="eastAsia" w:ascii="宋体" w:hAnsi="宋体" w:cs="宋体"/>
                <w:kern w:val="0"/>
                <w:szCs w:val="21"/>
              </w:rPr>
              <w:t xml:space="preserve">     本项目按投标报价最低金额为中标供应商，当投标报价相同时采用大小号抽签方式进行，号码大的为中标供应商。</w:t>
            </w:r>
          </w:p>
        </w:tc>
      </w:tr>
    </w:tbl>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方正小标宋_GBK" w:hAnsi="宋体" w:eastAsia="方正小标宋_GBK" w:cs="黑体"/>
          <w:bCs/>
          <w:color w:val="000000"/>
          <w:kern w:val="0"/>
          <w:sz w:val="44"/>
          <w:szCs w:val="44"/>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YWM3MDlkNzM0NjQ3NDJlOGU5NTEzMWMyMjU2ZGMifQ=="/>
  </w:docVars>
  <w:rsids>
    <w:rsidRoot w:val="006C3C1F"/>
    <w:rsid w:val="00642296"/>
    <w:rsid w:val="006C3C1F"/>
    <w:rsid w:val="0088313C"/>
    <w:rsid w:val="009C2690"/>
    <w:rsid w:val="00BD3A62"/>
    <w:rsid w:val="00BE0EDA"/>
    <w:rsid w:val="00CA5DDE"/>
    <w:rsid w:val="13F0357B"/>
    <w:rsid w:val="17342C4C"/>
    <w:rsid w:val="1C5744A5"/>
    <w:rsid w:val="21AD114F"/>
    <w:rsid w:val="2ECE70EA"/>
    <w:rsid w:val="32D305D1"/>
    <w:rsid w:val="3F637A72"/>
    <w:rsid w:val="426718AA"/>
    <w:rsid w:val="4490685E"/>
    <w:rsid w:val="4D3A3DA4"/>
    <w:rsid w:val="5B883543"/>
    <w:rsid w:val="62616197"/>
    <w:rsid w:val="6A852A55"/>
    <w:rsid w:val="6B2F4A09"/>
    <w:rsid w:val="7D2C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asciiTheme="minorHAnsi" w:hAnsiTheme="minorHAnsi"/>
      <w:b/>
      <w:kern w:val="44"/>
      <w:sz w:val="32"/>
    </w:rPr>
  </w:style>
  <w:style w:type="paragraph" w:styleId="2">
    <w:name w:val="heading 2"/>
    <w:basedOn w:val="1"/>
    <w:next w:val="1"/>
    <w:semiHidden/>
    <w:unhideWhenUsed/>
    <w:qFormat/>
    <w:uiPriority w:val="0"/>
    <w:pPr>
      <w:keepNext/>
      <w:keepLines/>
      <w:spacing w:line="360" w:lineRule="auto"/>
      <w:outlineLvl w:val="1"/>
    </w:pPr>
    <w:rPr>
      <w:rFonts w:ascii="Arial" w:hAnsi="Arial" w:eastAsia="楷体"/>
      <w:b/>
      <w:sz w:val="30"/>
    </w:rPr>
  </w:style>
  <w:style w:type="paragraph" w:styleId="4">
    <w:name w:val="heading 3"/>
    <w:basedOn w:val="1"/>
    <w:next w:val="1"/>
    <w:semiHidden/>
    <w:unhideWhenUsed/>
    <w:qFormat/>
    <w:uiPriority w:val="0"/>
    <w:pPr>
      <w:keepNext/>
      <w:keepLines/>
      <w:spacing w:line="360" w:lineRule="auto"/>
      <w:outlineLvl w:val="2"/>
    </w:pPr>
    <w:rPr>
      <w:rFonts w:eastAsia="仿宋" w:asciiTheme="minorHAnsi" w:hAnsiTheme="minorHAnsi"/>
      <w:b/>
      <w:sz w:val="28"/>
    </w:rPr>
  </w:style>
  <w:style w:type="paragraph" w:styleId="5">
    <w:name w:val="heading 4"/>
    <w:basedOn w:val="1"/>
    <w:next w:val="1"/>
    <w:semiHidden/>
    <w:unhideWhenUsed/>
    <w:qFormat/>
    <w:uiPriority w:val="0"/>
    <w:pPr>
      <w:keepNext/>
      <w:keepLines/>
      <w:spacing w:line="360" w:lineRule="auto"/>
      <w:outlineLvl w:val="3"/>
    </w:pPr>
    <w:rPr>
      <w:rFonts w:ascii="Arial" w:hAnsi="Arial" w:eastAsia="仿宋"/>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Times New Roman" w:cs="Courier New"/>
      <w:kern w:val="2"/>
      <w:sz w:val="21"/>
      <w:szCs w:val="21"/>
      <w:lang w:val="en-US" w:eastAsia="zh-CN" w:bidi="ar"/>
    </w:rPr>
  </w:style>
  <w:style w:type="paragraph" w:styleId="7">
    <w:name w:val="Balloon Text"/>
    <w:basedOn w:val="1"/>
    <w:link w:val="14"/>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0"/>
    <w:rPr>
      <w:rFonts w:ascii="Times New Roman" w:hAnsi="Times New Roman" w:eastAsia="宋体" w:cs="Times New Roman"/>
      <w:kern w:val="2"/>
      <w:sz w:val="18"/>
      <w:szCs w:val="18"/>
    </w:rPr>
  </w:style>
  <w:style w:type="character" w:customStyle="1" w:styleId="13">
    <w:name w:val="页脚 Char"/>
    <w:basedOn w:val="11"/>
    <w:link w:val="8"/>
    <w:qFormat/>
    <w:uiPriority w:val="0"/>
    <w:rPr>
      <w:rFonts w:ascii="Times New Roman" w:hAnsi="Times New Roman" w:eastAsia="宋体" w:cs="Times New Roman"/>
      <w:kern w:val="2"/>
      <w:sz w:val="18"/>
      <w:szCs w:val="18"/>
    </w:rPr>
  </w:style>
  <w:style w:type="character" w:customStyle="1" w:styleId="14">
    <w:name w:val="批注框文本 Char"/>
    <w:basedOn w:val="11"/>
    <w:link w:val="7"/>
    <w:qFormat/>
    <w:uiPriority w:val="0"/>
    <w:rPr>
      <w:rFonts w:ascii="Times New Roman" w:hAnsi="Times New Roman" w:eastAsia="宋体" w:cs="Times New Roman"/>
      <w:kern w:val="2"/>
      <w:sz w:val="18"/>
      <w:szCs w:val="18"/>
    </w:rPr>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Words>
  <Characters>1409</Characters>
  <Lines>11</Lines>
  <Paragraphs>3</Paragraphs>
  <TotalTime>20</TotalTime>
  <ScaleCrop>false</ScaleCrop>
  <LinksUpToDate>false</LinksUpToDate>
  <CharactersWithSpaces>1653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2023-09-06T09:05:00Z</dcterms:created>
  <dc:creator>caihaiping</dc:creator>
  <cp:lastModifiedBy>Administrator</cp:lastModifiedBy>
  <cp:lastPrinted>2023-09-06T09:00:00Z</cp:lastPrinted>
  <dcterms:modified xsi:type="dcterms:W3CDTF">2024-10-11T03:13:37Z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9A03710A9B684F52A44B517E19DB7330</vt:lpwstr>
  </property>
</Properties>
</file>