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color w:val="000000"/>
          <w:szCs w:val="32"/>
        </w:rPr>
      </w:pPr>
    </w:p>
    <w:p>
      <w:pPr>
        <w:keepNext w:val="0"/>
        <w:keepLines w:val="0"/>
        <w:pageBreakBefore w:val="0"/>
        <w:widowControl w:val="0"/>
        <w:kinsoku/>
        <w:wordWrap/>
        <w:overflowPunct/>
        <w:topLinePunct w:val="0"/>
        <w:autoSpaceDE w:val="0"/>
        <w:autoSpaceDN w:val="0"/>
        <w:bidi w:val="0"/>
        <w:adjustRightInd w:val="0"/>
        <w:snapToGrid/>
        <w:spacing w:line="560" w:lineRule="exact"/>
        <w:jc w:val="center"/>
        <w:textAlignment w:val="auto"/>
        <w:rPr>
          <w:rFonts w:ascii="方正小标宋_GBK" w:hAnsi="方正小标宋_GBK" w:eastAsia="方正小标宋_GBK" w:cs="方正小标宋_GBK"/>
          <w:kern w:val="0"/>
          <w:sz w:val="32"/>
          <w:szCs w:val="32"/>
        </w:rPr>
      </w:pPr>
      <w:r>
        <w:rPr>
          <w:rFonts w:hint="eastAsia" w:ascii="方正小标宋_GBK" w:hAnsi="方正小标宋_GBK" w:eastAsia="方正小标宋_GBK" w:cs="方正小标宋_GBK"/>
          <w:kern w:val="0"/>
          <w:sz w:val="32"/>
          <w:szCs w:val="32"/>
        </w:rPr>
        <w:t>政府采购违法行为风险知悉确认书</w:t>
      </w:r>
    </w:p>
    <w:p>
      <w:pPr>
        <w:keepNext w:val="0"/>
        <w:keepLines w:val="0"/>
        <w:pageBreakBefore w:val="0"/>
        <w:widowControl w:val="0"/>
        <w:kinsoku/>
        <w:wordWrap/>
        <w:overflowPunct/>
        <w:topLinePunct w:val="0"/>
        <w:bidi w:val="0"/>
        <w:snapToGrid/>
        <w:spacing w:line="560" w:lineRule="exact"/>
        <w:ind w:firstLine="640" w:firstLineChars="200"/>
        <w:textAlignment w:val="auto"/>
        <w:rPr>
          <w:rFonts w:ascii="仿宋_GB2312" w:hAnsi="仿宋_GB2312" w:eastAsia="仿宋_GB2312" w:cs="仿宋_GB2312"/>
          <w:sz w:val="32"/>
          <w:szCs w:val="32"/>
        </w:rPr>
      </w:pPr>
    </w:p>
    <w:p>
      <w:pPr>
        <w:keepNext w:val="0"/>
        <w:keepLines w:val="0"/>
        <w:pageBreakBefore w:val="0"/>
        <w:widowControl w:val="0"/>
        <w:kinsoku/>
        <w:wordWrap/>
        <w:overflowPunct/>
        <w:topLinePunct w:val="0"/>
        <w:bidi w:val="0"/>
        <w:snapToGrid/>
        <w:spacing w:line="560" w:lineRule="exact"/>
        <w:ind w:firstLine="560" w:firstLineChars="200"/>
        <w:textAlignment w:val="auto"/>
        <w:rPr>
          <w:rFonts w:hint="eastAsia" w:ascii="仿宋" w:hAnsi="仿宋" w:eastAsia="仿宋" w:cs="仿宋"/>
          <w:kern w:val="0"/>
          <w:sz w:val="28"/>
          <w:szCs w:val="28"/>
        </w:rPr>
      </w:pPr>
      <w:r>
        <w:rPr>
          <w:rFonts w:hint="eastAsia" w:ascii="仿宋" w:hAnsi="仿宋" w:eastAsia="仿宋" w:cs="仿宋"/>
          <w:sz w:val="28"/>
          <w:szCs w:val="28"/>
        </w:rPr>
        <w:t>本公司在投标前已充分知悉以下情形为参与政府采购活动时的重大风险事项，并承诺已对下述风险提示事项重点排查，做到严谨、诚信、依法依规参与政府采购活动。</w:t>
      </w:r>
    </w:p>
    <w:p>
      <w:pPr>
        <w:keepNext w:val="0"/>
        <w:keepLines w:val="0"/>
        <w:pageBreakBefore w:val="0"/>
        <w:widowControl w:val="0"/>
        <w:kinsoku/>
        <w:wordWrap/>
        <w:overflowPunct/>
        <w:topLinePunct w:val="0"/>
        <w:bidi w:val="0"/>
        <w:snapToGrid/>
        <w:spacing w:line="560" w:lineRule="exact"/>
        <w:ind w:firstLine="562" w:firstLineChars="200"/>
        <w:textAlignment w:val="auto"/>
        <w:rPr>
          <w:rFonts w:hint="eastAsia" w:ascii="仿宋" w:hAnsi="仿宋" w:eastAsia="仿宋" w:cs="仿宋"/>
          <w:sz w:val="28"/>
          <w:szCs w:val="28"/>
        </w:rPr>
      </w:pPr>
      <w:r>
        <w:rPr>
          <w:rFonts w:hint="eastAsia" w:ascii="仿宋" w:hAnsi="仿宋" w:eastAsia="仿宋" w:cs="仿宋"/>
          <w:b/>
          <w:bCs/>
          <w:sz w:val="28"/>
          <w:szCs w:val="28"/>
        </w:rPr>
        <w:t>一、本公司已充分知悉“隐瞒真实情况，提供虚假资料”的法定情形，相关情形包括但不限于</w:t>
      </w:r>
      <w:r>
        <w:rPr>
          <w:rFonts w:hint="eastAsia" w:ascii="仿宋" w:hAnsi="仿宋" w:eastAsia="仿宋" w:cs="仿宋"/>
          <w:sz w:val="28"/>
          <w:szCs w:val="28"/>
        </w:rPr>
        <w:t>：</w:t>
      </w:r>
    </w:p>
    <w:p>
      <w:pPr>
        <w:keepNext w:val="0"/>
        <w:keepLines w:val="0"/>
        <w:pageBreakBefore w:val="0"/>
        <w:widowControl w:val="0"/>
        <w:kinsoku/>
        <w:wordWrap/>
        <w:overflowPunct/>
        <w:topLinePunct w:val="0"/>
        <w:bidi w:val="0"/>
        <w:snapToGrid/>
        <w:spacing w:line="56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（一）通过转让或者租借等方式从其他单位获取资格或者资质证书投标的。</w:t>
      </w:r>
    </w:p>
    <w:p>
      <w:pPr>
        <w:keepNext w:val="0"/>
        <w:keepLines w:val="0"/>
        <w:pageBreakBefore w:val="0"/>
        <w:widowControl w:val="0"/>
        <w:kinsoku/>
        <w:wordWrap/>
        <w:overflowPunct/>
        <w:topLinePunct w:val="0"/>
        <w:bidi w:val="0"/>
        <w:snapToGrid/>
        <w:spacing w:line="56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（二）由其他单位或者其他单位负责人在投标供应商编制的投标文件上加盖印章或者签字的。</w:t>
      </w:r>
    </w:p>
    <w:p>
      <w:pPr>
        <w:keepNext w:val="0"/>
        <w:keepLines w:val="0"/>
        <w:pageBreakBefore w:val="0"/>
        <w:widowControl w:val="0"/>
        <w:kinsoku/>
        <w:wordWrap/>
        <w:overflowPunct/>
        <w:topLinePunct w:val="0"/>
        <w:bidi w:val="0"/>
        <w:snapToGrid/>
        <w:spacing w:line="56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（三）项目负责人或者主要技术人员不是本单位人员的。</w:t>
      </w:r>
    </w:p>
    <w:p>
      <w:pPr>
        <w:keepNext w:val="0"/>
        <w:keepLines w:val="0"/>
        <w:pageBreakBefore w:val="0"/>
        <w:widowControl w:val="0"/>
        <w:kinsoku/>
        <w:wordWrap/>
        <w:overflowPunct/>
        <w:topLinePunct w:val="0"/>
        <w:bidi w:val="0"/>
        <w:snapToGrid/>
        <w:spacing w:line="56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（四）投标保证金不是从投标供应商基本账户转出的。</w:t>
      </w:r>
    </w:p>
    <w:p>
      <w:pPr>
        <w:keepNext w:val="0"/>
        <w:keepLines w:val="0"/>
        <w:pageBreakBefore w:val="0"/>
        <w:widowControl w:val="0"/>
        <w:kinsoku/>
        <w:wordWrap/>
        <w:overflowPunct/>
        <w:topLinePunct w:val="0"/>
        <w:bidi w:val="0"/>
        <w:snapToGrid/>
        <w:spacing w:line="56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（五）其他隐瞒真实情况、提供虚假资料的行为。</w:t>
      </w:r>
    </w:p>
    <w:p>
      <w:pPr>
        <w:keepNext w:val="0"/>
        <w:keepLines w:val="0"/>
        <w:pageBreakBefore w:val="0"/>
        <w:widowControl w:val="0"/>
        <w:kinsoku/>
        <w:wordWrap/>
        <w:overflowPunct/>
        <w:topLinePunct w:val="0"/>
        <w:bidi w:val="0"/>
        <w:snapToGrid/>
        <w:spacing w:line="560" w:lineRule="exact"/>
        <w:ind w:firstLine="562" w:firstLineChars="200"/>
        <w:textAlignment w:val="auto"/>
        <w:rPr>
          <w:rFonts w:hint="eastAsia" w:ascii="仿宋" w:hAnsi="仿宋" w:eastAsia="仿宋" w:cs="仿宋"/>
          <w:sz w:val="28"/>
          <w:szCs w:val="28"/>
        </w:rPr>
      </w:pPr>
      <w:r>
        <w:rPr>
          <w:rFonts w:hint="eastAsia" w:ascii="仿宋" w:hAnsi="仿宋" w:eastAsia="仿宋" w:cs="仿宋"/>
          <w:b/>
          <w:bCs/>
          <w:sz w:val="28"/>
          <w:szCs w:val="28"/>
        </w:rPr>
        <w:t>二、本公司已充分知悉“与其他采购参加人串通投标”的法定情形，相关情形包括但不限于：</w:t>
      </w:r>
    </w:p>
    <w:p>
      <w:pPr>
        <w:keepNext w:val="0"/>
        <w:keepLines w:val="0"/>
        <w:pageBreakBefore w:val="0"/>
        <w:widowControl w:val="0"/>
        <w:kinsoku/>
        <w:wordWrap/>
        <w:overflowPunct/>
        <w:topLinePunct w:val="0"/>
        <w:bidi w:val="0"/>
        <w:snapToGrid/>
        <w:spacing w:line="56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 xml:space="preserve">（一）投标供应商之间相互约定给予未中标的供应商利益补偿。 </w:t>
      </w:r>
    </w:p>
    <w:p>
      <w:pPr>
        <w:keepNext w:val="0"/>
        <w:keepLines w:val="0"/>
        <w:pageBreakBefore w:val="0"/>
        <w:widowControl w:val="0"/>
        <w:kinsoku/>
        <w:wordWrap/>
        <w:overflowPunct/>
        <w:topLinePunct w:val="0"/>
        <w:bidi w:val="0"/>
        <w:snapToGrid/>
        <w:spacing w:line="56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（二）不同投标供应商的法定代表人、主要经营负责人、项目投标授权代表人、项目负责人、主要技术人员为同一人、属同一单位或者在同一单位缴纳社会保险。</w:t>
      </w:r>
    </w:p>
    <w:p>
      <w:pPr>
        <w:keepNext w:val="0"/>
        <w:keepLines w:val="0"/>
        <w:pageBreakBefore w:val="0"/>
        <w:widowControl w:val="0"/>
        <w:kinsoku/>
        <w:wordWrap/>
        <w:overflowPunct/>
        <w:topLinePunct w:val="0"/>
        <w:bidi w:val="0"/>
        <w:snapToGrid/>
        <w:spacing w:line="56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（三）不同投标供应商的投标文件由同一单位或者同一人编制，或者由同一人分阶段参与编制的。</w:t>
      </w:r>
    </w:p>
    <w:p>
      <w:pPr>
        <w:keepNext w:val="0"/>
        <w:keepLines w:val="0"/>
        <w:pageBreakBefore w:val="0"/>
        <w:widowControl w:val="0"/>
        <w:kinsoku/>
        <w:wordWrap/>
        <w:overflowPunct/>
        <w:topLinePunct w:val="0"/>
        <w:bidi w:val="0"/>
        <w:snapToGrid/>
        <w:spacing w:line="56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（四）不同投标供应商的投标文件或部分投标文件相互混装。</w:t>
      </w:r>
    </w:p>
    <w:p>
      <w:pPr>
        <w:keepNext w:val="0"/>
        <w:keepLines w:val="0"/>
        <w:pageBreakBefore w:val="0"/>
        <w:widowControl w:val="0"/>
        <w:kinsoku/>
        <w:wordWrap/>
        <w:overflowPunct/>
        <w:topLinePunct w:val="0"/>
        <w:bidi w:val="0"/>
        <w:snapToGrid/>
        <w:spacing w:line="56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（五）不同投标供应商的投标文件内容存在非正常一致。</w:t>
      </w:r>
    </w:p>
    <w:p>
      <w:pPr>
        <w:keepNext w:val="0"/>
        <w:keepLines w:val="0"/>
        <w:pageBreakBefore w:val="0"/>
        <w:widowControl w:val="0"/>
        <w:kinsoku/>
        <w:wordWrap/>
        <w:overflowPunct/>
        <w:topLinePunct w:val="0"/>
        <w:bidi w:val="0"/>
        <w:snapToGrid/>
        <w:spacing w:line="56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（六）由同一单位工作人员为两家以上（含两家）供应商进行同一项投标活动的。</w:t>
      </w:r>
    </w:p>
    <w:p>
      <w:pPr>
        <w:keepNext w:val="0"/>
        <w:keepLines w:val="0"/>
        <w:pageBreakBefore w:val="0"/>
        <w:widowControl w:val="0"/>
        <w:kinsoku/>
        <w:wordWrap/>
        <w:overflowPunct/>
        <w:topLinePunct w:val="0"/>
        <w:bidi w:val="0"/>
        <w:snapToGrid/>
        <w:spacing w:line="56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（七）不同投标人的投标报价呈规律性差异。</w:t>
      </w:r>
    </w:p>
    <w:p>
      <w:pPr>
        <w:keepNext w:val="0"/>
        <w:keepLines w:val="0"/>
        <w:pageBreakBefore w:val="0"/>
        <w:widowControl w:val="0"/>
        <w:kinsoku/>
        <w:wordWrap/>
        <w:overflowPunct/>
        <w:topLinePunct w:val="0"/>
        <w:bidi w:val="0"/>
        <w:snapToGrid/>
        <w:spacing w:line="56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（八）不同投标人的投标保证金从同一单位或者个人的账户转出。</w:t>
      </w:r>
    </w:p>
    <w:p>
      <w:pPr>
        <w:keepNext w:val="0"/>
        <w:keepLines w:val="0"/>
        <w:pageBreakBefore w:val="0"/>
        <w:widowControl w:val="0"/>
        <w:kinsoku/>
        <w:wordWrap/>
        <w:overflowPunct/>
        <w:topLinePunct w:val="0"/>
        <w:bidi w:val="0"/>
        <w:snapToGrid/>
        <w:spacing w:line="56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（九）主管部门依照法律、法规认定的其他情形。</w:t>
      </w:r>
    </w:p>
    <w:p>
      <w:pPr>
        <w:keepNext w:val="0"/>
        <w:keepLines w:val="0"/>
        <w:pageBreakBefore w:val="0"/>
        <w:widowControl w:val="0"/>
        <w:kinsoku/>
        <w:wordWrap/>
        <w:overflowPunct/>
        <w:topLinePunct w:val="0"/>
        <w:bidi w:val="0"/>
        <w:snapToGrid/>
        <w:spacing w:line="560" w:lineRule="exact"/>
        <w:ind w:firstLine="562" w:firstLineChars="200"/>
        <w:textAlignment w:val="auto"/>
        <w:rPr>
          <w:rFonts w:hint="eastAsia" w:ascii="仿宋" w:hAnsi="仿宋" w:eastAsia="仿宋" w:cs="仿宋"/>
          <w:b/>
          <w:bCs/>
          <w:sz w:val="28"/>
          <w:szCs w:val="28"/>
        </w:rPr>
      </w:pPr>
      <w:r>
        <w:rPr>
          <w:rFonts w:hint="eastAsia" w:ascii="仿宋" w:hAnsi="仿宋" w:eastAsia="仿宋" w:cs="仿宋"/>
          <w:b/>
          <w:bCs/>
          <w:sz w:val="28"/>
          <w:szCs w:val="28"/>
        </w:rPr>
        <w:t>三、本公司已充分知悉下列情形所对应的法律风险，并在投标前已对相关风险事项进行排查。</w:t>
      </w:r>
    </w:p>
    <w:p>
      <w:pPr>
        <w:keepNext w:val="0"/>
        <w:keepLines w:val="0"/>
        <w:pageBreakBefore w:val="0"/>
        <w:widowControl w:val="0"/>
        <w:kinsoku/>
        <w:wordWrap/>
        <w:overflowPunct/>
        <w:topLinePunct w:val="0"/>
        <w:bidi w:val="0"/>
        <w:snapToGrid/>
        <w:spacing w:line="560" w:lineRule="exact"/>
        <w:ind w:firstLine="560" w:firstLineChars="200"/>
        <w:textAlignment w:val="auto"/>
        <w:rPr>
          <w:rFonts w:hint="eastAsia" w:ascii="仿宋" w:hAnsi="仿宋" w:eastAsia="仿宋" w:cs="仿宋"/>
          <w:b/>
          <w:bCs/>
          <w:sz w:val="28"/>
          <w:szCs w:val="28"/>
        </w:rPr>
      </w:pPr>
      <w:r>
        <w:rPr>
          <w:rFonts w:hint="eastAsia" w:ascii="仿宋" w:hAnsi="仿宋" w:eastAsia="仿宋" w:cs="仿宋"/>
          <w:sz w:val="28"/>
          <w:szCs w:val="28"/>
        </w:rPr>
        <w:t>（一）对于从其他主体获取的投标资料，供应商应审慎核查，确保投标资料的真实性。</w:t>
      </w:r>
      <w:r>
        <w:rPr>
          <w:rFonts w:hint="eastAsia" w:ascii="仿宋" w:hAnsi="仿宋" w:eastAsia="仿宋" w:cs="仿宋"/>
          <w:b/>
          <w:bCs/>
          <w:sz w:val="28"/>
          <w:szCs w:val="28"/>
        </w:rPr>
        <w:t>如主管部门查实投标文件中存在虚假资料的，无论相关资料是否由第三方或本公司员工提供，均不影响主管部门对供应商存在“隐瞒真实情况，提供虚假资料”违法行为的认定。</w:t>
      </w:r>
    </w:p>
    <w:p>
      <w:pPr>
        <w:keepNext w:val="0"/>
        <w:keepLines w:val="0"/>
        <w:pageBreakBefore w:val="0"/>
        <w:widowControl w:val="0"/>
        <w:kinsoku/>
        <w:wordWrap/>
        <w:overflowPunct/>
        <w:topLinePunct w:val="0"/>
        <w:bidi w:val="0"/>
        <w:snapToGrid/>
        <w:spacing w:line="56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（二）对于涉及国家机关出具的公文、证件、证明材料等文件，一旦涉嫌虚假，经查实，主管部门将依法从严处理，并移送有关部门追究法律责任；涉嫌犯罪的，主管部门将一并移送司法机关追究法律责任。</w:t>
      </w:r>
    </w:p>
    <w:p>
      <w:pPr>
        <w:keepNext w:val="0"/>
        <w:keepLines w:val="0"/>
        <w:pageBreakBefore w:val="0"/>
        <w:widowControl w:val="0"/>
        <w:kinsoku/>
        <w:wordWrap/>
        <w:overflowPunct/>
        <w:topLinePunct w:val="0"/>
        <w:bidi w:val="0"/>
        <w:snapToGrid/>
        <w:spacing w:line="56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 xml:space="preserve">（三）对于涉及安全生产、特种作业、抢险救灾、防疫等政府采购项目，供应商实施提供虚假资料、串通投标等违法行为的，主管部门将依法从严处理。 </w:t>
      </w:r>
    </w:p>
    <w:p>
      <w:pPr>
        <w:keepNext w:val="0"/>
        <w:keepLines w:val="0"/>
        <w:pageBreakBefore w:val="0"/>
        <w:widowControl w:val="0"/>
        <w:kinsoku/>
        <w:wordWrap/>
        <w:overflowPunct/>
        <w:topLinePunct w:val="0"/>
        <w:bidi w:val="0"/>
        <w:snapToGrid/>
        <w:spacing w:line="56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四）供应商应严格规范项目授权代表、员工参与招标投标的行为，加强对投标文件的审核。项目授权代表、员工编制、上传投标文件等行为违反政府采购法律法规或招标文件要求的，投标供应商应当依法承担相应法律责任。</w:t>
      </w:r>
    </w:p>
    <w:p>
      <w:pPr>
        <w:keepNext w:val="0"/>
        <w:keepLines w:val="0"/>
        <w:pageBreakBefore w:val="0"/>
        <w:widowControl w:val="0"/>
        <w:kinsoku/>
        <w:wordWrap/>
        <w:overflowPunct/>
        <w:topLinePunct w:val="0"/>
        <w:bidi w:val="0"/>
        <w:snapToGrid/>
        <w:spacing w:line="560" w:lineRule="exact"/>
        <w:ind w:firstLine="560" w:firstLineChars="200"/>
        <w:jc w:val="left"/>
        <w:textAlignment w:val="auto"/>
        <w:rPr>
          <w:rFonts w:hint="eastAsia" w:ascii="仿宋" w:hAnsi="仿宋" w:eastAsia="仿宋" w:cs="仿宋"/>
          <w:sz w:val="28"/>
          <w:szCs w:val="28"/>
        </w:rPr>
      </w:pPr>
      <w:r>
        <w:rPr>
          <w:rFonts w:hint="eastAsia" w:ascii="仿宋" w:hAnsi="仿宋" w:eastAsia="仿宋" w:cs="仿宋"/>
          <w:sz w:val="28"/>
          <w:szCs w:val="28"/>
        </w:rPr>
        <w:t>（五）供应商对投标电子密钥负有妥善保管、及时变更和续期等主体责任。供应商使用电子密钥在深圳政府采购网站进行的活动，均具有法律效力，须承担相应的法律后果。供应商擅自将投标密钥出借他人使用所造成的法律后果，由供应商自行承担。</w:t>
      </w:r>
    </w:p>
    <w:p>
      <w:pPr>
        <w:keepNext w:val="0"/>
        <w:keepLines w:val="0"/>
        <w:pageBreakBefore w:val="0"/>
        <w:widowControl w:val="0"/>
        <w:kinsoku/>
        <w:wordWrap/>
        <w:overflowPunct/>
        <w:topLinePunct w:val="0"/>
        <w:bidi w:val="0"/>
        <w:snapToGrid/>
        <w:spacing w:line="56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（六）单位负责人为同一人或者存在直接控股、管理关系的不同供应商，不得参加同一合同项下的政府采购活动。相关情形如查实，依法作投标无效处理；涉嫌串通投标等违法行为的，主管部门将依法调查处理。</w:t>
      </w:r>
    </w:p>
    <w:p>
      <w:pPr>
        <w:keepNext w:val="0"/>
        <w:keepLines w:val="0"/>
        <w:pageBreakBefore w:val="0"/>
        <w:widowControl w:val="0"/>
        <w:kinsoku/>
        <w:wordWrap/>
        <w:overflowPunct/>
        <w:topLinePunct w:val="0"/>
        <w:bidi w:val="0"/>
        <w:snapToGrid/>
        <w:spacing w:line="560" w:lineRule="exact"/>
        <w:ind w:firstLine="562" w:firstLineChars="200"/>
        <w:textAlignment w:val="auto"/>
        <w:rPr>
          <w:rFonts w:hint="eastAsia" w:ascii="仿宋" w:hAnsi="仿宋" w:eastAsia="仿宋" w:cs="仿宋"/>
          <w:b/>
          <w:bCs/>
          <w:sz w:val="28"/>
          <w:szCs w:val="28"/>
        </w:rPr>
      </w:pPr>
      <w:r>
        <w:rPr>
          <w:rFonts w:hint="eastAsia" w:ascii="仿宋" w:hAnsi="仿宋" w:eastAsia="仿宋" w:cs="仿宋"/>
          <w:b/>
          <w:bCs/>
          <w:sz w:val="28"/>
          <w:szCs w:val="28"/>
        </w:rPr>
        <w:t>四、本公司已充分知悉政府采购违法、违规行为的法律后果。</w:t>
      </w:r>
      <w:r>
        <w:rPr>
          <w:rFonts w:hint="eastAsia" w:ascii="仿宋" w:hAnsi="仿宋" w:eastAsia="仿宋" w:cs="仿宋"/>
          <w:sz w:val="28"/>
          <w:szCs w:val="28"/>
        </w:rPr>
        <w:t>经查实，若投标供应商存在政府采购违法、违规行为，主管部门将依据《深圳经济特区政府采购条例》第五十七条的规定，处以一至三年内禁止参与本市政府采购，并由主管部门记入供应商诚信档案，处采购金额千分之十以上千分之二十以下罚款；情节严重的，取消参与本市政府采购资格，处采购金额千分之二十以上千分之三十以下罚款，并由市场监管部门依法吊销营业执照。</w:t>
      </w:r>
    </w:p>
    <w:p>
      <w:pPr>
        <w:keepNext w:val="0"/>
        <w:keepLines w:val="0"/>
        <w:pageBreakBefore w:val="0"/>
        <w:widowControl w:val="0"/>
        <w:kinsoku/>
        <w:wordWrap/>
        <w:overflowPunct/>
        <w:topLinePunct w:val="0"/>
        <w:bidi w:val="0"/>
        <w:snapToGrid/>
        <w:spacing w:line="56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以下文字请投标供应商抄写并确认：“本公司已仔细阅读《政府采购违法行为风险知悉确认书》，充分知悉违法行为的法律后果，并承诺将严谨、诚信、依法依规参与政府采购活动”。</w:t>
      </w:r>
    </w:p>
    <w:p>
      <w:pPr>
        <w:keepNext w:val="0"/>
        <w:keepLines w:val="0"/>
        <w:pageBreakBefore w:val="0"/>
        <w:widowControl w:val="0"/>
        <w:kinsoku/>
        <w:wordWrap/>
        <w:overflowPunct/>
        <w:topLinePunct w:val="0"/>
        <w:bidi w:val="0"/>
        <w:snapToGrid/>
        <w:spacing w:line="560" w:lineRule="exact"/>
        <w:textAlignment w:val="auto"/>
        <w:rPr>
          <w:rFonts w:hint="eastAsia" w:ascii="仿宋" w:hAnsi="仿宋" w:eastAsia="仿宋" w:cs="仿宋"/>
          <w:sz w:val="28"/>
          <w:szCs w:val="28"/>
        </w:rPr>
      </w:pPr>
      <w:r>
        <w:rPr>
          <w:rFonts w:hint="eastAsia" w:ascii="仿宋" w:hAnsi="仿宋" w:eastAsia="仿宋" w:cs="仿宋"/>
          <w:sz w:val="28"/>
          <w:szCs w:val="28"/>
          <w:u w:val="single"/>
        </w:rPr>
        <w:t xml:space="preserve">                                                </w:t>
      </w:r>
      <w:r>
        <w:rPr>
          <w:rFonts w:hint="eastAsia" w:ascii="仿宋" w:hAnsi="仿宋" w:eastAsia="仿宋" w:cs="仿宋"/>
          <w:sz w:val="28"/>
          <w:szCs w:val="28"/>
          <w:u w:val="single"/>
          <w:lang w:val="en-US" w:eastAsia="zh-CN"/>
        </w:rPr>
        <w:t xml:space="preserve">       </w:t>
      </w:r>
      <w:r>
        <w:rPr>
          <w:rFonts w:hint="eastAsia" w:ascii="仿宋" w:hAnsi="仿宋" w:eastAsia="仿宋" w:cs="仿宋"/>
          <w:sz w:val="28"/>
          <w:szCs w:val="28"/>
          <w:u w:val="single"/>
        </w:rPr>
        <w:t xml:space="preserve">    </w:t>
      </w:r>
    </w:p>
    <w:p>
      <w:pPr>
        <w:keepNext w:val="0"/>
        <w:keepLines w:val="0"/>
        <w:pageBreakBefore w:val="0"/>
        <w:widowControl w:val="0"/>
        <w:kinsoku/>
        <w:wordWrap/>
        <w:overflowPunct/>
        <w:topLinePunct w:val="0"/>
        <w:bidi w:val="0"/>
        <w:snapToGrid/>
        <w:spacing w:line="560" w:lineRule="exact"/>
        <w:textAlignment w:val="auto"/>
        <w:rPr>
          <w:rFonts w:hint="eastAsia" w:ascii="仿宋" w:hAnsi="仿宋" w:eastAsia="仿宋" w:cs="仿宋"/>
          <w:sz w:val="28"/>
          <w:szCs w:val="28"/>
          <w:u w:val="single"/>
        </w:rPr>
      </w:pPr>
      <w:r>
        <w:rPr>
          <w:rFonts w:hint="eastAsia" w:ascii="仿宋" w:hAnsi="仿宋" w:eastAsia="仿宋" w:cs="仿宋"/>
          <w:sz w:val="28"/>
          <w:szCs w:val="28"/>
          <w:u w:val="single"/>
        </w:rPr>
        <w:t xml:space="preserve">                                               </w:t>
      </w:r>
      <w:r>
        <w:rPr>
          <w:rFonts w:hint="eastAsia" w:ascii="仿宋" w:hAnsi="仿宋" w:eastAsia="仿宋" w:cs="仿宋"/>
          <w:sz w:val="28"/>
          <w:szCs w:val="28"/>
          <w:u w:val="single"/>
          <w:lang w:val="en-US" w:eastAsia="zh-CN"/>
        </w:rPr>
        <w:t xml:space="preserve">       </w:t>
      </w:r>
      <w:r>
        <w:rPr>
          <w:rFonts w:hint="eastAsia" w:ascii="仿宋" w:hAnsi="仿宋" w:eastAsia="仿宋" w:cs="仿宋"/>
          <w:sz w:val="28"/>
          <w:szCs w:val="28"/>
          <w:u w:val="single"/>
        </w:rPr>
        <w:t xml:space="preserve">     </w:t>
      </w:r>
    </w:p>
    <w:p>
      <w:pPr>
        <w:keepNext w:val="0"/>
        <w:keepLines w:val="0"/>
        <w:pageBreakBefore w:val="0"/>
        <w:widowControl w:val="0"/>
        <w:kinsoku/>
        <w:wordWrap/>
        <w:overflowPunct/>
        <w:topLinePunct w:val="0"/>
        <w:bidi w:val="0"/>
        <w:snapToGrid/>
        <w:spacing w:line="560" w:lineRule="exact"/>
        <w:textAlignment w:val="auto"/>
        <w:rPr>
          <w:rFonts w:hint="eastAsia" w:ascii="仿宋" w:hAnsi="仿宋" w:eastAsia="仿宋" w:cs="仿宋"/>
          <w:sz w:val="28"/>
          <w:szCs w:val="28"/>
        </w:rPr>
      </w:pPr>
      <w:r>
        <w:rPr>
          <w:rFonts w:hint="eastAsia" w:ascii="仿宋" w:hAnsi="仿宋" w:eastAsia="仿宋" w:cs="仿宋"/>
          <w:sz w:val="28"/>
          <w:szCs w:val="28"/>
          <w:u w:val="single"/>
        </w:rPr>
        <w:t xml:space="preserve">                                               </w:t>
      </w:r>
      <w:r>
        <w:rPr>
          <w:rFonts w:hint="eastAsia" w:ascii="仿宋" w:hAnsi="仿宋" w:eastAsia="仿宋" w:cs="仿宋"/>
          <w:sz w:val="28"/>
          <w:szCs w:val="28"/>
          <w:u w:val="single"/>
          <w:lang w:val="en-US" w:eastAsia="zh-CN"/>
        </w:rPr>
        <w:t xml:space="preserve">       </w:t>
      </w:r>
      <w:r>
        <w:rPr>
          <w:rFonts w:hint="eastAsia" w:ascii="仿宋" w:hAnsi="仿宋" w:eastAsia="仿宋" w:cs="仿宋"/>
          <w:sz w:val="28"/>
          <w:szCs w:val="28"/>
          <w:u w:val="single"/>
        </w:rPr>
        <w:t xml:space="preserve">     </w:t>
      </w:r>
    </w:p>
    <w:p>
      <w:pPr>
        <w:keepNext w:val="0"/>
        <w:keepLines w:val="0"/>
        <w:pageBreakBefore w:val="0"/>
        <w:widowControl w:val="0"/>
        <w:kinsoku/>
        <w:wordWrap/>
        <w:overflowPunct/>
        <w:topLinePunct w:val="0"/>
        <w:bidi w:val="0"/>
        <w:snapToGrid/>
        <w:spacing w:line="560" w:lineRule="exact"/>
        <w:textAlignment w:val="auto"/>
        <w:rPr>
          <w:rFonts w:hint="eastAsia" w:ascii="仿宋" w:hAnsi="仿宋" w:eastAsia="仿宋" w:cs="仿宋"/>
          <w:sz w:val="28"/>
          <w:szCs w:val="28"/>
          <w:highlight w:val="yellow"/>
        </w:rPr>
      </w:pPr>
    </w:p>
    <w:p>
      <w:pPr>
        <w:keepNext w:val="0"/>
        <w:keepLines w:val="0"/>
        <w:pageBreakBefore w:val="0"/>
        <w:widowControl w:val="0"/>
        <w:kinsoku/>
        <w:wordWrap/>
        <w:overflowPunct/>
        <w:topLinePunct w:val="0"/>
        <w:autoSpaceDE/>
        <w:autoSpaceDN/>
        <w:bidi w:val="0"/>
        <w:adjustRightInd/>
        <w:snapToGrid/>
        <w:spacing w:line="540" w:lineRule="exact"/>
        <w:textAlignment w:val="auto"/>
        <w:rPr>
          <w:rFonts w:hint="eastAsia" w:ascii="仿宋" w:hAnsi="仿宋" w:eastAsia="仿宋" w:cs="仿宋"/>
          <w:sz w:val="28"/>
          <w:szCs w:val="28"/>
        </w:rPr>
      </w:pPr>
      <w:r>
        <w:rPr>
          <w:rFonts w:hint="eastAsia" w:ascii="仿宋" w:hAnsi="仿宋" w:eastAsia="仿宋" w:cs="仿宋"/>
          <w:sz w:val="28"/>
          <w:szCs w:val="28"/>
        </w:rPr>
        <w:t xml:space="preserve">                    负责人/投标授权代表签名：</w:t>
      </w:r>
    </w:p>
    <w:p>
      <w:pPr>
        <w:keepNext w:val="0"/>
        <w:keepLines w:val="0"/>
        <w:pageBreakBefore w:val="0"/>
        <w:widowControl w:val="0"/>
        <w:kinsoku/>
        <w:wordWrap/>
        <w:overflowPunct/>
        <w:topLinePunct w:val="0"/>
        <w:autoSpaceDE/>
        <w:autoSpaceDN/>
        <w:bidi w:val="0"/>
        <w:adjustRightInd/>
        <w:snapToGrid/>
        <w:spacing w:line="540" w:lineRule="exact"/>
        <w:ind w:firstLine="2800" w:firstLineChars="1000"/>
        <w:textAlignment w:val="auto"/>
        <w:rPr>
          <w:rFonts w:hint="eastAsia" w:ascii="仿宋" w:hAnsi="仿宋" w:eastAsia="仿宋" w:cs="仿宋"/>
          <w:sz w:val="28"/>
          <w:szCs w:val="28"/>
        </w:rPr>
      </w:pPr>
      <w:r>
        <w:rPr>
          <w:rFonts w:hint="eastAsia" w:ascii="仿宋" w:hAnsi="仿宋" w:eastAsia="仿宋" w:cs="仿宋"/>
          <w:sz w:val="28"/>
          <w:szCs w:val="28"/>
        </w:rPr>
        <w:t>知悉人（公章）：</w:t>
      </w:r>
    </w:p>
    <w:p>
      <w:pPr>
        <w:keepNext w:val="0"/>
        <w:keepLines w:val="0"/>
        <w:pageBreakBefore w:val="0"/>
        <w:widowControl w:val="0"/>
        <w:kinsoku/>
        <w:wordWrap/>
        <w:overflowPunct/>
        <w:topLinePunct w:val="0"/>
        <w:autoSpaceDE/>
        <w:autoSpaceDN/>
        <w:bidi w:val="0"/>
        <w:adjustRightInd/>
        <w:snapToGrid/>
        <w:spacing w:line="540" w:lineRule="exact"/>
        <w:textAlignment w:val="auto"/>
        <w:rPr>
          <w:rFonts w:hint="eastAsia" w:ascii="仿宋" w:hAnsi="仿宋" w:eastAsia="仿宋" w:cs="仿宋"/>
          <w:sz w:val="28"/>
          <w:szCs w:val="28"/>
        </w:rPr>
      </w:pPr>
      <w:r>
        <w:rPr>
          <w:rFonts w:hint="eastAsia" w:ascii="仿宋" w:hAnsi="仿宋" w:eastAsia="仿宋" w:cs="仿宋"/>
          <w:sz w:val="28"/>
          <w:szCs w:val="28"/>
        </w:rPr>
        <w:t xml:space="preserve">                    日期：</w:t>
      </w:r>
      <w:bookmarkStart w:id="0" w:name="_GoBack"/>
      <w:bookmarkEnd w:id="0"/>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
    <w:panose1 w:val="02010609060101010101"/>
    <w:charset w:val="86"/>
    <w:family w:val="modern"/>
    <w:pitch w:val="default"/>
    <w:sig w:usb0="800002BF" w:usb1="38CF7CFA" w:usb2="00000016" w:usb3="00000000" w:csb0="00040001" w:csb1="00000000"/>
  </w:font>
  <w:font w:name="方正小标宋_GBK">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9"/>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JjNDE2OGFmYTYwYmVkZjNmZDZmZTY2NWU4YjMwOTIifQ=="/>
  </w:docVars>
  <w:rsids>
    <w:rsidRoot w:val="1D1721F0"/>
    <w:rsid w:val="1D1721F0"/>
    <w:rsid w:val="511E2FC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character" w:default="1" w:styleId="6">
    <w:name w:val="Default Paragraph Font"/>
    <w:semiHidden/>
    <w:qFormat/>
    <w:uiPriority w:val="0"/>
  </w:style>
  <w:style w:type="table" w:default="1" w:styleId="5">
    <w:name w:val="Normal Table"/>
    <w:semiHidden/>
    <w:uiPriority w:val="0"/>
    <w:tblPr>
      <w:tblCellMar>
        <w:top w:w="0" w:type="dxa"/>
        <w:left w:w="108" w:type="dxa"/>
        <w:bottom w:w="0" w:type="dxa"/>
        <w:right w:w="108" w:type="dxa"/>
      </w:tblCellMar>
    </w:tblPr>
  </w:style>
  <w:style w:type="paragraph" w:styleId="2">
    <w:name w:val="Normal Indent"/>
    <w:basedOn w:val="1"/>
    <w:next w:val="3"/>
    <w:qFormat/>
    <w:uiPriority w:val="0"/>
    <w:pPr>
      <w:ind w:firstLine="420" w:firstLineChars="200"/>
    </w:pPr>
    <w:rPr>
      <w:szCs w:val="24"/>
    </w:rPr>
  </w:style>
  <w:style w:type="paragraph" w:styleId="3">
    <w:name w:val="Body Text"/>
    <w:basedOn w:val="1"/>
    <w:next w:val="4"/>
    <w:qFormat/>
    <w:uiPriority w:val="0"/>
    <w:pPr>
      <w:tabs>
        <w:tab w:val="left" w:pos="5760"/>
      </w:tabs>
    </w:pPr>
    <w:rPr>
      <w:rFonts w:ascii="宋体" w:hAnsi="宋体"/>
      <w:sz w:val="28"/>
      <w:szCs w:val="20"/>
    </w:rPr>
  </w:style>
  <w:style w:type="paragraph" w:styleId="4">
    <w:name w:val="Title"/>
    <w:basedOn w:val="1"/>
    <w:next w:val="1"/>
    <w:qFormat/>
    <w:uiPriority w:val="0"/>
    <w:pPr>
      <w:spacing w:before="240" w:after="60" w:line="276" w:lineRule="auto"/>
      <w:jc w:val="center"/>
      <w:outlineLvl w:val="0"/>
    </w:pPr>
    <w:rPr>
      <w:rFonts w:ascii="Cambria" w:hAnsi="Cambria"/>
      <w:b/>
      <w:bCs/>
      <w:sz w:val="32"/>
      <w:szCs w:val="32"/>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Office_12.1.0.15374_F1E327BC-269C-435d-A152-05C5408002CA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2023-09-12T06:43:00Z</dcterms:created>
  <dc:creator>嘉琪</dc:creator>
  <cp:lastModifiedBy>嘉琪</cp:lastModifiedBy>
  <dcterms:modified xsi:type="dcterms:W3CDTF">2023-09-13T07:13:23Z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2052-12.1.0.15374</vt:lpwstr>
  </property>
  <property fmtid="{D5CDD505-2E9C-101B-9397-08002B2CF9AE}" pid="3" name="ICV">
    <vt:lpwstr>C7313CBA5ABB434A853112E5FACA3973_13</vt:lpwstr>
  </property>
</Properties>
</file>