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pacing w:line="580" w:lineRule="exact"/>
        <w:ind w:firstLine="0" w:firstLineChars="0"/>
        <w:rPr>
          <w:rFonts w:ascii="仿宋" w:hAnsi="仿宋" w:eastAsia="仿宋"/>
          <w:sz w:val="44"/>
          <w:szCs w:val="44"/>
        </w:rPr>
      </w:pPr>
      <w:r>
        <w:rPr>
          <w:rFonts w:hint="eastAsia" w:ascii="仿宋" w:hAnsi="仿宋" w:eastAsia="仿宋"/>
          <w:sz w:val="32"/>
          <w:szCs w:val="24"/>
        </w:rPr>
        <w:t>附件6：</w:t>
      </w:r>
    </w:p>
    <w:p>
      <w:pPr>
        <w:rPr>
          <w:rFonts w:ascii="仿宋" w:hAnsi="仿宋" w:eastAsia="仿宋"/>
        </w:rPr>
      </w:pPr>
    </w:p>
    <w:p>
      <w:pPr>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p>
      <w:pPr>
        <w:rPr>
          <w:rFonts w:ascii="仿宋" w:hAnsi="仿宋" w:eastAsia="仿宋"/>
          <w:color w:val="000000"/>
          <w:szCs w:val="21"/>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ind w:firstLine="420" w:firstLineChars="200"/>
              <w:rPr>
                <w:rFonts w:ascii="仿宋" w:hAnsi="仿宋" w:eastAsia="仿宋"/>
                <w:color w:val="000000"/>
                <w:kern w:val="0"/>
                <w:szCs w:val="21"/>
              </w:rPr>
            </w:pPr>
            <w:r>
              <w:rPr>
                <w:rFonts w:hint="eastAsia" w:ascii="仿宋" w:hAnsi="仿宋" w:eastAsia="仿宋"/>
                <w:color w:val="000000"/>
                <w:kern w:val="0"/>
                <w:szCs w:val="21"/>
              </w:rPr>
              <w:t>依照《深圳经济特区政府采购条例》第二十、二十一条规定，</w:t>
            </w:r>
            <w:r>
              <w:rPr>
                <w:rFonts w:hint="eastAsia" w:ascii="仿宋" w:hAnsi="仿宋" w:eastAsia="仿宋" w:cs="宋体"/>
                <w:color w:val="000000"/>
                <w:kern w:val="0"/>
                <w:szCs w:val="21"/>
              </w:rPr>
              <w:t>深圳市规划和自然资源局就</w:t>
            </w:r>
            <w:r>
              <w:rPr>
                <w:rFonts w:hint="eastAsia" w:ascii="仿宋" w:hAnsi="仿宋" w:eastAsia="仿宋"/>
                <w:color w:val="000000"/>
                <w:kern w:val="0"/>
                <w:szCs w:val="21"/>
              </w:rPr>
              <w:t>《</w:t>
            </w:r>
            <w:r>
              <w:rPr>
                <w:rFonts w:hint="eastAsia" w:ascii="仿宋" w:hAnsi="仿宋" w:eastAsia="仿宋"/>
                <w:bCs/>
                <w:color w:val="000000"/>
                <w:kern w:val="0"/>
                <w:szCs w:val="21"/>
                <w:lang w:val="en-US" w:eastAsia="zh-CN"/>
              </w:rPr>
              <w:t>2024年度</w:t>
            </w:r>
            <w:r>
              <w:rPr>
                <w:rFonts w:hint="eastAsia" w:ascii="仿宋" w:hAnsi="仿宋" w:eastAsia="仿宋"/>
                <w:bCs/>
                <w:color w:val="000000"/>
                <w:kern w:val="0"/>
                <w:szCs w:val="21"/>
              </w:rPr>
              <w:t>深圳市重点工程未批先建项目违法用地空间监测和处置建议</w:t>
            </w:r>
            <w:r>
              <w:rPr>
                <w:rFonts w:hint="eastAsia" w:ascii="仿宋" w:hAnsi="仿宋" w:eastAsia="仿宋"/>
                <w:color w:val="000000"/>
                <w:kern w:val="0"/>
                <w:szCs w:val="21"/>
              </w:rPr>
              <w:t>》项目采用单一来源方式采购，现将有关情况向潜在政府采购供应商征求意见: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color w:val="000000"/>
                <w:kern w:val="0"/>
                <w:szCs w:val="21"/>
              </w:rPr>
            </w:pPr>
            <w:r>
              <w:rPr>
                <w:rFonts w:hint="eastAsia" w:ascii="仿宋" w:hAnsi="仿宋" w:eastAsia="仿宋"/>
                <w:bCs/>
                <w:color w:val="000000"/>
                <w:kern w:val="0"/>
                <w:szCs w:val="21"/>
              </w:rPr>
              <w:t>采购项目名称：《</w:t>
            </w:r>
            <w:r>
              <w:rPr>
                <w:rFonts w:hint="eastAsia" w:ascii="仿宋" w:hAnsi="仿宋" w:eastAsia="仿宋"/>
                <w:bCs/>
                <w:color w:val="000000"/>
                <w:kern w:val="0"/>
                <w:szCs w:val="21"/>
                <w:lang w:val="en-US" w:eastAsia="zh-CN"/>
              </w:rPr>
              <w:t>2024年度</w:t>
            </w:r>
            <w:r>
              <w:rPr>
                <w:rFonts w:hint="eastAsia" w:ascii="仿宋" w:hAnsi="仿宋" w:eastAsia="仿宋"/>
                <w:bCs/>
                <w:color w:val="000000"/>
                <w:kern w:val="0"/>
                <w:szCs w:val="21"/>
              </w:rPr>
              <w:t>深圳市重点工程未批先建项目违法用地空间监测和处置建议》</w:t>
            </w:r>
          </w:p>
          <w:p>
            <w:pPr>
              <w:spacing w:line="440" w:lineRule="exact"/>
              <w:rPr>
                <w:rFonts w:ascii="仿宋" w:hAnsi="仿宋" w:eastAsia="仿宋"/>
                <w:bCs/>
                <w:color w:val="000000"/>
                <w:kern w:val="0"/>
                <w:szCs w:val="21"/>
              </w:rPr>
            </w:pPr>
            <w:r>
              <w:rPr>
                <w:rFonts w:hint="eastAsia" w:ascii="仿宋" w:hAnsi="仿宋" w:eastAsia="仿宋"/>
                <w:bCs/>
                <w:color w:val="000000"/>
                <w:kern w:val="0"/>
                <w:szCs w:val="21"/>
              </w:rPr>
              <w:t>项目预算金额：人民币108万元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color w:val="000000"/>
                <w:kern w:val="0"/>
                <w:szCs w:val="21"/>
              </w:rPr>
            </w:pPr>
            <w:r>
              <w:rPr>
                <w:rFonts w:hint="eastAsia" w:ascii="仿宋" w:hAnsi="仿宋" w:eastAsia="仿宋"/>
                <w:bCs/>
                <w:color w:val="000000"/>
                <w:kern w:val="0"/>
                <w:szCs w:val="21"/>
              </w:rPr>
              <w:t>采购项目描述：(内容、用途、数量、简要技术需求等)</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1.项目内容：开展2024年深圳市重点工程和未批先建违法用地项目清查、空间监测、典型案例剖析、处置工作建议研究等工作。</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2.项目用途：切实掌握2024年深圳市违法用地情况，建立规划土地执法与审批衔接机制，为完善规划土地执法提供策略、建议以及全方位技术支持。</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3.成果数量：</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（1）2024年度深圳市重点工程未批先建项目违法用地空间监测报告</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（2）深圳市重点工程未批先建项目违法用地数据库</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（3）2024年度深圳市重点工程未批先建项目违法用地典型案例分析报告</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（4）2024年度深圳市重点工程未批先建项目违法用地处置情况与优化建议报告</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4.简要技术需求：</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（1）2024年深圳市重点工程和未批先建违法用地项目清查</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对历史重点工程违法用地和未批先建项目数据库信息进行更新调查，清查2024年深圳市重点工程和未批先建违法用地项目情况。</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（2）2024年深圳市重点工程和未批先建违法用地项目空间监测</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梳理重点工程和未批先建违法用地项目信息，形成数据库；分类梳理项目情形，建立台账；开展空间监测，建立专题监测数据库。</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（3）2024年深圳市重点工程和未批先建违法用地项目典型案例剖析</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选取典型重点工程和未批先建违法用地项目案例，剖析未批先建成因及问题。</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（4）2024年深圳市重点工程和未批先建违法用地项目处置情况跟踪与优化建议</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结合国家、省、市政策要求和深圳实际，分类提出执法处置工作建议；研究提出遏制新增违法用地行为的优化建议。</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（5）2024年深圳市重点工程和未批先建违法用地项目处置技术支持</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研究分析国家、省、市违法用地清查处置相关政策文件和工作要求，提供违法用地处置工作的政策解读、政策指导等政策支持。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40" w:lineRule="exact"/>
              <w:rPr>
                <w:rFonts w:ascii="仿宋" w:hAnsi="仿宋" w:eastAsia="仿宋"/>
                <w:bCs/>
                <w:color w:val="000000"/>
                <w:kern w:val="0"/>
                <w:szCs w:val="21"/>
              </w:rPr>
            </w:pPr>
            <w:r>
              <w:rPr>
                <w:rFonts w:hint="eastAsia" w:ascii="仿宋" w:hAnsi="仿宋" w:eastAsia="仿宋"/>
                <w:bCs/>
                <w:color w:val="000000"/>
                <w:kern w:val="0"/>
                <w:szCs w:val="21"/>
              </w:rPr>
              <w:t>拟定供应商名单：深圳市规划国土发展研究中心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申请理由及相关说明：</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（一）申请非公开招标的采购方式、理由</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2018年以来，我局陆续组织开展涉及违法用地监测、处置等相关工作，逐步形成每年定期开展的常规性项目。</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本项目选用单一来源采购方式确定委托单位的理由为以下三点：</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一是项目工作内容的专业性、复杂性、特殊性。项目内容涉及用地合法性判定、用地审批、规划核查等多项技术性工作，要求委托单位具备城市规划、自然资源管理和执法查处等方面的政策研究和数据处理等综合技术能力；二是项目工作内容的一致性、延续性。委托单位持续开展数年，具有丰富的工作经验和数据基础，能够较好的保证工作的延续性和成果的一致性；三是数据特殊性要求。本项目实施过程中需要使用遥感影像、地形图、建筑物普查、权属、规划依据等数据，如通过公开招标方式确定委托单位，存在一定的数据风险。</w:t>
            </w:r>
            <w:r>
              <w:rPr>
                <w:rFonts w:ascii="仿宋" w:hAnsi="仿宋" w:eastAsia="仿宋"/>
                <w:bCs/>
                <w:color w:val="000000"/>
                <w:kern w:val="0"/>
                <w:szCs w:val="21"/>
              </w:rPr>
              <w:t xml:space="preserve"> </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（二）参与非公开招标的供应商的产生方式、理由</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从项目的安全性、公平性、专业性和延续性的角度出发，选取深圳市规划国土发展研究中心作为委托单位，理由如下：</w:t>
            </w:r>
          </w:p>
          <w:p>
            <w:pPr>
              <w:spacing w:line="440" w:lineRule="exact"/>
              <w:ind w:firstLine="420" w:firstLineChars="200"/>
              <w:rPr>
                <w:rFonts w:ascii="仿宋" w:hAnsi="仿宋" w:eastAsia="仿宋"/>
                <w:bCs/>
                <w:color w:val="000000"/>
                <w:kern w:val="0"/>
                <w:szCs w:val="21"/>
              </w:rPr>
            </w:pPr>
            <w:r>
              <w:rPr>
                <w:rFonts w:ascii="仿宋" w:hAnsi="仿宋" w:eastAsia="仿宋"/>
                <w:bCs/>
                <w:color w:val="000000"/>
                <w:kern w:val="0"/>
                <w:szCs w:val="21"/>
              </w:rPr>
              <w:t>1</w:t>
            </w:r>
            <w:r>
              <w:rPr>
                <w:rFonts w:hint="eastAsia" w:ascii="仿宋" w:hAnsi="仿宋" w:eastAsia="仿宋"/>
                <w:bCs/>
                <w:color w:val="000000"/>
                <w:kern w:val="0"/>
                <w:szCs w:val="21"/>
              </w:rPr>
              <w:t>.基于工作的专业性。违法用地监测、处置的各项工作需要供应商具有用地合法性判定、用地审批、规划核查和执法查处等方面的政策研究和数据处理等专业性、技术性。深圳市规划国土发展研究中心是承担政府部门委托的规划、土地、交通、市政等各项业务的事业单位，有城市规划、土地管理、地理信息系统等多专业性技术人才，具备完成项目内容的专业技术能力。</w:t>
            </w:r>
          </w:p>
          <w:p>
            <w:pPr>
              <w:spacing w:line="440" w:lineRule="exact"/>
              <w:ind w:firstLine="420" w:firstLineChars="200"/>
              <w:rPr>
                <w:rFonts w:ascii="仿宋" w:hAnsi="仿宋" w:eastAsia="仿宋"/>
                <w:bCs/>
                <w:color w:val="000000"/>
                <w:kern w:val="0"/>
                <w:szCs w:val="21"/>
              </w:rPr>
            </w:pPr>
            <w:r>
              <w:rPr>
                <w:rFonts w:ascii="仿宋" w:hAnsi="仿宋" w:eastAsia="仿宋"/>
                <w:bCs/>
                <w:color w:val="000000"/>
                <w:kern w:val="0"/>
                <w:szCs w:val="21"/>
              </w:rPr>
              <w:t>2</w:t>
            </w:r>
            <w:r>
              <w:rPr>
                <w:rFonts w:hint="eastAsia" w:ascii="仿宋" w:hAnsi="仿宋" w:eastAsia="仿宋"/>
                <w:bCs/>
                <w:color w:val="000000"/>
                <w:kern w:val="0"/>
                <w:szCs w:val="21"/>
              </w:rPr>
              <w:t>.基于工作的延续一致性。深圳市规划国土发展研究中心连续多年承担违法用地监测、处置等相关研究项目，在用地合法性判定、用地审批、规划核查等方面积累了丰富的数据基础和技术经验，具备承担此项目的技术条件。</w:t>
            </w:r>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3.基于工作的信息和数据安全性。深圳市规划国土发展研究中心长期以来承担深圳市规划和自然资源局大量涉及保密性政策文件</w:t>
            </w:r>
            <w:r>
              <w:rPr>
                <w:rFonts w:hint="eastAsia" w:ascii="仿宋" w:hAnsi="仿宋" w:eastAsia="仿宋"/>
                <w:bCs/>
                <w:color w:val="000000"/>
                <w:kern w:val="0"/>
                <w:szCs w:val="21"/>
                <w:lang w:eastAsia="zh-CN"/>
              </w:rPr>
              <w:t>的</w:t>
            </w:r>
            <w:r>
              <w:rPr>
                <w:rFonts w:hint="eastAsia" w:ascii="仿宋" w:hAnsi="仿宋" w:eastAsia="仿宋"/>
                <w:bCs/>
                <w:color w:val="auto"/>
                <w:kern w:val="0"/>
                <w:szCs w:val="21"/>
              </w:rPr>
              <w:t>研究</w:t>
            </w:r>
            <w:r>
              <w:rPr>
                <w:rFonts w:hint="eastAsia" w:ascii="仿宋" w:hAnsi="仿宋" w:eastAsia="仿宋"/>
                <w:bCs/>
                <w:color w:val="000000"/>
                <w:kern w:val="0"/>
                <w:szCs w:val="21"/>
              </w:rPr>
              <w:t>工作，有着严格的保密制度和优质安全的保密设备，能够保证相关保密文件的安全性。</w:t>
            </w:r>
            <w:bookmarkStart w:id="0" w:name="_GoBack"/>
            <w:bookmarkEnd w:id="0"/>
          </w:p>
          <w:p>
            <w:pPr>
              <w:spacing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综上，依据《深圳经济特区政府采购条例》的第二十一条第（二）、（三）、（四）款规定，以及《深圳市规划和自然资源局政府采购管理制度》</w:t>
            </w:r>
            <w:r>
              <w:rPr>
                <w:rFonts w:hint="eastAsia" w:ascii="仿宋" w:hAnsi="仿宋" w:eastAsia="仿宋"/>
                <w:bCs/>
                <w:color w:val="000000"/>
                <w:kern w:val="0"/>
                <w:szCs w:val="21"/>
                <w:lang w:val="zh-CN"/>
              </w:rPr>
              <w:t>第十五条第二款</w:t>
            </w:r>
            <w:r>
              <w:rPr>
                <w:rFonts w:hint="eastAsia" w:ascii="仿宋" w:hAnsi="仿宋" w:eastAsia="仿宋"/>
                <w:bCs/>
                <w:color w:val="000000"/>
                <w:kern w:val="0"/>
                <w:szCs w:val="21"/>
              </w:rPr>
              <w:t>，基于前期相关工作的延续性，工作的专业性、保密性，以及市规划国土发展研究中心职能定位，项目申请采用单一来源采购的方式确定供应商，供应商为深圳市规划国土发展研究中心。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bCs/>
                <w:color w:val="000000"/>
                <w:kern w:val="0"/>
                <w:szCs w:val="21"/>
              </w:rPr>
            </w:pPr>
            <w:r>
              <w:rPr>
                <w:rFonts w:hint="eastAsia" w:ascii="仿宋" w:hAnsi="仿宋" w:eastAsia="仿宋"/>
                <w:bCs/>
                <w:color w:val="000000"/>
                <w:kern w:val="0"/>
                <w:szCs w:val="21"/>
              </w:rPr>
              <w:t>征求意见期限：</w:t>
            </w:r>
          </w:p>
          <w:p>
            <w:pPr>
              <w:spacing w:before="62" w:beforeLines="20" w:after="62" w:afterLines="20" w:line="440" w:lineRule="exact"/>
              <w:ind w:firstLine="420" w:firstLineChars="200"/>
              <w:rPr>
                <w:rFonts w:ascii="仿宋" w:hAnsi="仿宋" w:eastAsia="仿宋"/>
                <w:bCs/>
                <w:color w:val="000000"/>
                <w:kern w:val="0"/>
                <w:szCs w:val="21"/>
              </w:rPr>
            </w:pPr>
            <w:r>
              <w:rPr>
                <w:rFonts w:hint="eastAsia" w:ascii="仿宋" w:hAnsi="仿宋" w:eastAsia="仿宋"/>
                <w:bCs/>
                <w:color w:val="000000"/>
                <w:kern w:val="0"/>
                <w:szCs w:val="21"/>
              </w:rPr>
              <w:t>从2024年9 月3日起至2024年9 月</w:t>
            </w:r>
            <w:r>
              <w:rPr>
                <w:rFonts w:ascii="仿宋" w:hAnsi="仿宋" w:eastAsia="仿宋"/>
                <w:bCs/>
                <w:color w:val="000000"/>
                <w:kern w:val="0"/>
                <w:szCs w:val="21"/>
              </w:rPr>
              <w:t>6</w:t>
            </w:r>
            <w:r>
              <w:rPr>
                <w:rFonts w:hint="eastAsia" w:ascii="仿宋" w:hAnsi="仿宋" w:eastAsia="仿宋"/>
                <w:bCs/>
                <w:color w:val="000000"/>
                <w:kern w:val="0"/>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pacing w:before="100" w:beforeAutospacing="1" w:after="100" w:afterAutospacing="1" w:line="320" w:lineRule="exact"/>
              <w:jc w:val="left"/>
              <w:rPr>
                <w:rFonts w:ascii="仿宋" w:hAnsi="仿宋" w:eastAsia="仿宋" w:cs="宋体"/>
                <w:color w:val="000000"/>
                <w:kern w:val="0"/>
                <w:szCs w:val="21"/>
              </w:rPr>
            </w:pPr>
            <w:r>
              <w:rPr>
                <w:rFonts w:hint="eastAsia" w:ascii="仿宋" w:hAnsi="仿宋" w:eastAsia="仿宋" w:cs="宋体"/>
                <w:bCs/>
                <w:color w:val="000000"/>
                <w:kern w:val="0"/>
                <w:szCs w:val="21"/>
              </w:rPr>
              <w:t>联系方式：</w:t>
            </w:r>
          </w:p>
          <w:p>
            <w:pPr>
              <w:widowControl/>
              <w:spacing w:before="100" w:beforeAutospacing="1" w:after="100" w:afterAutospacing="1" w:line="320" w:lineRule="exact"/>
              <w:ind w:firstLine="480"/>
              <w:jc w:val="left"/>
              <w:rPr>
                <w:rFonts w:ascii="仿宋" w:hAnsi="仿宋" w:eastAsia="仿宋" w:cs="宋体"/>
                <w:color w:val="000000"/>
                <w:kern w:val="0"/>
                <w:szCs w:val="21"/>
              </w:rPr>
            </w:pPr>
            <w:r>
              <w:rPr>
                <w:rFonts w:hint="eastAsia" w:ascii="仿宋" w:hAnsi="仿宋" w:eastAsia="仿宋" w:cs="宋体"/>
                <w:color w:val="000000"/>
                <w:kern w:val="0"/>
                <w:szCs w:val="21"/>
              </w:rPr>
              <w:t>采购人:深圳市规划和自然资源局</w:t>
            </w:r>
          </w:p>
          <w:p>
            <w:pPr>
              <w:widowControl/>
              <w:spacing w:before="100" w:beforeAutospacing="1" w:after="100" w:afterAutospacing="1" w:line="320" w:lineRule="exact"/>
              <w:ind w:firstLine="480"/>
              <w:jc w:val="left"/>
              <w:rPr>
                <w:rFonts w:ascii="仿宋" w:hAnsi="仿宋" w:eastAsia="仿宋" w:cs="宋体"/>
                <w:color w:val="000000"/>
                <w:kern w:val="0"/>
                <w:szCs w:val="21"/>
              </w:rPr>
            </w:pPr>
            <w:r>
              <w:rPr>
                <w:rFonts w:hint="eastAsia" w:ascii="仿宋" w:hAnsi="仿宋" w:eastAsia="仿宋" w:cs="宋体"/>
                <w:color w:val="000000"/>
                <w:kern w:val="0"/>
                <w:szCs w:val="21"/>
              </w:rPr>
              <w:t>联系人：李小六</w:t>
            </w:r>
          </w:p>
          <w:p>
            <w:pPr>
              <w:widowControl/>
              <w:spacing w:before="100" w:beforeAutospacing="1" w:after="100" w:afterAutospacing="1" w:line="32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　　地址：深圳市红荔西路8009号规划大厦</w:t>
            </w:r>
          </w:p>
          <w:p>
            <w:pPr>
              <w:widowControl/>
              <w:spacing w:before="100" w:beforeAutospacing="1" w:after="100" w:afterAutospacing="1" w:line="32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 xml:space="preserve">　　联系电话：0755- </w:t>
            </w:r>
            <w:r>
              <w:rPr>
                <w:rFonts w:ascii="仿宋" w:hAnsi="仿宋" w:eastAsia="仿宋" w:cs="宋体"/>
                <w:color w:val="000000"/>
                <w:kern w:val="0"/>
                <w:szCs w:val="21"/>
              </w:rPr>
              <w:t>83670419</w:t>
            </w:r>
            <w:r>
              <w:rPr>
                <w:rFonts w:hint="eastAsia" w:ascii="仿宋" w:hAnsi="仿宋" w:eastAsia="仿宋" w:cs="宋体"/>
                <w:color w:val="000000"/>
                <w:kern w:val="0"/>
                <w:szCs w:val="21"/>
              </w:rPr>
              <w:t>　</w:t>
            </w:r>
            <w:r>
              <w:rPr>
                <w:rFonts w:eastAsia="仿宋" w:cs="Calibri"/>
                <w:color w:val="000000"/>
                <w:kern w:val="0"/>
                <w:szCs w:val="21"/>
              </w:rPr>
              <w:t> </w:t>
            </w:r>
            <w:r>
              <w:rPr>
                <w:rFonts w:hint="eastAsia" w:ascii="仿宋" w:hAnsi="仿宋" w:eastAsia="仿宋" w:cs="宋体"/>
                <w:color w:val="000000"/>
                <w:kern w:val="0"/>
                <w:szCs w:val="21"/>
              </w:rPr>
              <w:t xml:space="preserve">传真：0755- </w:t>
            </w:r>
            <w:r>
              <w:rPr>
                <w:rFonts w:ascii="仿宋" w:hAnsi="仿宋" w:eastAsia="仿宋" w:cs="宋体"/>
                <w:color w:val="000000"/>
                <w:kern w:val="0"/>
                <w:szCs w:val="21"/>
              </w:rPr>
              <w:t>23930198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kern w:val="0"/>
                <w:szCs w:val="21"/>
              </w:rPr>
            </w:pPr>
            <w:r>
              <w:rPr>
                <w:rFonts w:ascii="仿宋" w:hAnsi="仿宋" w:eastAsia="仿宋"/>
                <w:bCs/>
                <w:kern w:val="0"/>
                <w:szCs w:val="21"/>
              </w:rPr>
              <w:t>备注：</w:t>
            </w:r>
            <w:r>
              <w:rPr>
                <w:rFonts w:ascii="仿宋" w:hAnsi="仿宋" w:eastAsia="仿宋"/>
                <w:kern w:val="0"/>
                <w:szCs w:val="21"/>
              </w:rPr>
              <w:t>潜在政府采购供应商对公示内容有异议的，请于</w:t>
            </w:r>
            <w:r>
              <w:rPr>
                <w:rFonts w:ascii="仿宋" w:hAnsi="仿宋" w:eastAsia="仿宋"/>
                <w:bCs/>
                <w:kern w:val="0"/>
                <w:szCs w:val="21"/>
              </w:rPr>
              <w:t>公示之日起至期满后两个工作日内</w:t>
            </w:r>
            <w:r>
              <w:rPr>
                <w:rFonts w:ascii="仿宋" w:hAnsi="仿宋" w:eastAsia="仿宋"/>
                <w:kern w:val="0"/>
                <w:szCs w:val="21"/>
              </w:rPr>
              <w:t>以实名书面（包括联系人、地址、联系电话）形式将意见反馈至</w:t>
            </w:r>
            <w:r>
              <w:rPr>
                <w:rFonts w:ascii="仿宋" w:hAnsi="仿宋" w:eastAsia="仿宋" w:cs="宋体"/>
                <w:kern w:val="0"/>
                <w:szCs w:val="21"/>
              </w:rPr>
              <w:t>深圳市规划和自然资源局。</w:t>
            </w:r>
          </w:p>
        </w:tc>
      </w:tr>
    </w:tbl>
    <w:p>
      <w:pPr>
        <w:rPr>
          <w:rFonts w:ascii="仿宋" w:hAnsi="仿宋" w:eastAsia="仿宋"/>
          <w:color w:val="000000"/>
          <w:szCs w:val="21"/>
        </w:rPr>
      </w:pPr>
      <w:r>
        <w:rPr>
          <w:rFonts w:hint="eastAsia" w:ascii="仿宋" w:hAnsi="仿宋" w:eastAsia="仿宋"/>
          <w:color w:val="000000"/>
          <w:szCs w:val="21"/>
        </w:rPr>
        <w:t>上述内容需包括：</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（一）采购人名称、项目名称、采购计划、项目规模及资金来源情况；</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（二）项目技术需求和标准；</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（三）申请非公开招标的采购方式、理由及证明材料；</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（四）相关行业及潜在供应商情况；</w:t>
      </w:r>
    </w:p>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（五）参与非公开招标的供应商的产生方式和理由；</w:t>
      </w:r>
    </w:p>
    <w:p>
      <w:pPr>
        <w:rPr>
          <w:rFonts w:ascii="仿宋" w:hAnsi="仿宋" w:eastAsia="仿宋"/>
          <w:color w:val="000000"/>
        </w:rPr>
      </w:pPr>
      <w:r>
        <w:rPr>
          <w:rFonts w:hint="eastAsia" w:ascii="仿宋" w:hAnsi="仿宋" w:eastAsia="仿宋" w:cs="宋体"/>
          <w:color w:val="000000"/>
          <w:kern w:val="0"/>
          <w:szCs w:val="21"/>
        </w:rPr>
        <w:t>（六）涉密、应急项目的认定材料。</w:t>
      </w:r>
    </w:p>
    <w:p>
      <w:pPr>
        <w:widowControl/>
        <w:jc w:val="left"/>
        <w:rPr>
          <w:rFonts w:ascii="仿宋" w:hAnsi="仿宋" w:eastAsia="仿宋"/>
          <w:color w:val="000000"/>
          <w:sz w:val="32"/>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404"/>
    <w:rsid w:val="00055807"/>
    <w:rsid w:val="00094CA7"/>
    <w:rsid w:val="00161AD0"/>
    <w:rsid w:val="00172A27"/>
    <w:rsid w:val="0019017F"/>
    <w:rsid w:val="001B376F"/>
    <w:rsid w:val="00211331"/>
    <w:rsid w:val="00215A61"/>
    <w:rsid w:val="002567F9"/>
    <w:rsid w:val="00297950"/>
    <w:rsid w:val="00337E4D"/>
    <w:rsid w:val="003C6FF1"/>
    <w:rsid w:val="003D179D"/>
    <w:rsid w:val="004068B5"/>
    <w:rsid w:val="004232C1"/>
    <w:rsid w:val="004376CD"/>
    <w:rsid w:val="004D2FE0"/>
    <w:rsid w:val="004E5AC8"/>
    <w:rsid w:val="005D146A"/>
    <w:rsid w:val="005E5262"/>
    <w:rsid w:val="00686469"/>
    <w:rsid w:val="006864BE"/>
    <w:rsid w:val="006C3B07"/>
    <w:rsid w:val="006E5AFE"/>
    <w:rsid w:val="007759F6"/>
    <w:rsid w:val="007B29F7"/>
    <w:rsid w:val="007E77C2"/>
    <w:rsid w:val="007F5919"/>
    <w:rsid w:val="00885CE3"/>
    <w:rsid w:val="00887CB7"/>
    <w:rsid w:val="008971B6"/>
    <w:rsid w:val="008A5323"/>
    <w:rsid w:val="00941C59"/>
    <w:rsid w:val="00952977"/>
    <w:rsid w:val="009530CE"/>
    <w:rsid w:val="00965193"/>
    <w:rsid w:val="0098424C"/>
    <w:rsid w:val="009B7FD0"/>
    <w:rsid w:val="009C02B2"/>
    <w:rsid w:val="009C185B"/>
    <w:rsid w:val="009D064D"/>
    <w:rsid w:val="00AA5705"/>
    <w:rsid w:val="00AE3A9A"/>
    <w:rsid w:val="00BD20ED"/>
    <w:rsid w:val="00C35EFC"/>
    <w:rsid w:val="00C51777"/>
    <w:rsid w:val="00C51B02"/>
    <w:rsid w:val="00C661A3"/>
    <w:rsid w:val="00CB4E2C"/>
    <w:rsid w:val="00CD6C8B"/>
    <w:rsid w:val="00D13C39"/>
    <w:rsid w:val="00D36EB9"/>
    <w:rsid w:val="00D7663A"/>
    <w:rsid w:val="00DD02F2"/>
    <w:rsid w:val="00DD4804"/>
    <w:rsid w:val="00DF40C7"/>
    <w:rsid w:val="00E401DB"/>
    <w:rsid w:val="00E40D7C"/>
    <w:rsid w:val="00E90DC5"/>
    <w:rsid w:val="00EE5886"/>
    <w:rsid w:val="00F17889"/>
    <w:rsid w:val="00F32834"/>
    <w:rsid w:val="00F33AA1"/>
    <w:rsid w:val="00F33FE3"/>
    <w:rsid w:val="00F57358"/>
    <w:rsid w:val="00F704D1"/>
    <w:rsid w:val="00FC48F1"/>
    <w:rsid w:val="00FF418C"/>
    <w:rsid w:val="0B657BE7"/>
    <w:rsid w:val="19CC3B92"/>
    <w:rsid w:val="2BE8021B"/>
    <w:rsid w:val="3D3A27AD"/>
    <w:rsid w:val="3E9E45B2"/>
    <w:rsid w:val="3F465F1E"/>
    <w:rsid w:val="3FFE66E0"/>
    <w:rsid w:val="43913BE5"/>
    <w:rsid w:val="43FE9440"/>
    <w:rsid w:val="54DC5394"/>
    <w:rsid w:val="5B385959"/>
    <w:rsid w:val="5DB36AF6"/>
    <w:rsid w:val="5FB8208E"/>
    <w:rsid w:val="60CF2861"/>
    <w:rsid w:val="62BB35D0"/>
    <w:rsid w:val="6A294327"/>
    <w:rsid w:val="734D5CE9"/>
    <w:rsid w:val="7DB31753"/>
    <w:rsid w:val="7E040203"/>
    <w:rsid w:val="7E0F0944"/>
    <w:rsid w:val="7E2B37CB"/>
    <w:rsid w:val="7FFD1FA7"/>
    <w:rsid w:val="EDF35D90"/>
    <w:rsid w:val="FBAF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rFonts w:ascii="Calibri" w:hAnsi="Calibri" w:eastAsia="宋体" w:cs="Times New Roman"/>
      <w:sz w:val="18"/>
      <w:szCs w:val="18"/>
    </w:rPr>
  </w:style>
  <w:style w:type="character" w:customStyle="1" w:styleId="9">
    <w:name w:val="页脚 字符"/>
    <w:basedOn w:val="6"/>
    <w:link w:val="2"/>
    <w:qFormat/>
    <w:uiPriority w:val="99"/>
    <w:rPr>
      <w:rFonts w:ascii="Calibri" w:hAnsi="Calibri" w:eastAsia="宋体" w:cs="Times New Roman"/>
      <w:sz w:val="18"/>
      <w:szCs w:val="18"/>
    </w:rPr>
  </w:style>
  <w:style w:type="paragraph" w:customStyle="1" w:styleId="1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332</Words>
  <Characters>1893</Characters>
  <Lines>15</Lines>
  <Paragraphs>4</Paragraphs>
  <TotalTime>8</TotalTime>
  <ScaleCrop>false</ScaleCrop>
  <LinksUpToDate>false</LinksUpToDate>
  <CharactersWithSpaces>2221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2024-08-27T18:04:00Z</dcterms:created>
  <dc:creator>lenovo</dc:creator>
  <cp:lastModifiedBy>liuqianl</cp:lastModifiedBy>
  <dcterms:modified xsi:type="dcterms:W3CDTF">2024-09-03T16:32:32Z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7825601F1AC13966285EC466E4BCF132</vt:lpwstr>
  </property>
</Properties>
</file>