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lang w:val="en-US" w:eastAsia="zh-CN"/>
        </w:rPr>
        <w:t>密级：</w:t>
      </w:r>
      <w:r>
        <w:rPr>
          <w:rFonts w:hint="eastAsia" w:ascii="仿宋_GB2312" w:hAnsi="仿宋_GB2312" w:eastAsia="仿宋_GB2312" w:cs="仿宋_GB2312"/>
          <w:b w:val="0"/>
          <w:sz w:val="32"/>
          <w:szCs w:val="32"/>
          <w:lang w:val="en-US" w:eastAsia="zh-CN"/>
        </w:rPr>
        <w:t>公开</w:t>
      </w:r>
    </w:p>
    <w:p>
      <w:pPr>
        <w:spacing w:line="240" w:lineRule="auto"/>
        <w:rPr>
          <w:rFonts w:hint="eastAsia" w:ascii="仿宋_GB2312" w:hAnsi="仿宋_GB2312" w:eastAsia="仿宋_GB2312" w:cs="仿宋_GB2312"/>
          <w:b w:val="0"/>
          <w:sz w:val="32"/>
          <w:lang w:eastAsia="zh-CN"/>
        </w:rPr>
      </w:pPr>
      <w:bookmarkStart w:id="0" w:name="_GoBack"/>
      <w:bookmarkEnd w:id="0"/>
    </w:p>
    <w:p>
      <w:pPr>
        <w:spacing w:line="240" w:lineRule="auto"/>
        <w:rPr>
          <w:rFonts w:hint="eastAsia" w:ascii="仿宋_GB2312" w:hAnsi="仿宋_GB2312" w:eastAsia="仿宋_GB2312" w:cs="仿宋_GB2312"/>
          <w:b w:val="0"/>
          <w:sz w:val="32"/>
          <w:lang w:eastAsia="zh-CN"/>
        </w:rPr>
      </w:pPr>
      <w:r>
        <w:rPr>
          <w:rFonts w:hint="eastAsia" w:ascii="仿宋_GB2312" w:hAnsi="仿宋_GB2312" w:eastAsia="仿宋_GB2312" w:cs="仿宋_GB2312"/>
          <w:b w:val="0"/>
          <w:sz w:val="32"/>
          <w:szCs w:val="32"/>
          <w:lang w:val="en-US" w:eastAsia="zh-CN"/>
        </w:rPr>
        <w:t>建议</w:t>
      </w:r>
      <w:r>
        <w:rPr>
          <w:rFonts w:hint="eastAsia" w:ascii="仿宋_GB2312" w:hAnsi="仿宋_GB2312" w:eastAsia="仿宋_GB2312" w:cs="仿宋_GB2312"/>
          <w:b w:val="0"/>
          <w:sz w:val="32"/>
          <w:lang w:eastAsia="zh-CN"/>
        </w:rPr>
        <w:t>第</w:t>
      </w:r>
      <w:r>
        <w:rPr>
          <w:rFonts w:hint="eastAsia" w:ascii="仿宋_GB2312" w:hAnsi="仿宋_GB2312" w:eastAsia="仿宋_GB2312" w:cs="仿宋_GB2312"/>
          <w:b w:val="0"/>
          <w:sz w:val="28"/>
          <w:lang w:val="en-US" w:eastAsia="zh-CN"/>
        </w:rPr>
        <w:t>20220022</w:t>
      </w:r>
      <w:r>
        <w:rPr>
          <w:rFonts w:hint="eastAsia" w:ascii="仿宋_GB2312" w:hAnsi="仿宋_GB2312" w:eastAsia="仿宋_GB2312" w:cs="仿宋_GB2312"/>
          <w:b w:val="0"/>
          <w:sz w:val="32"/>
          <w:lang w:eastAsia="zh-CN"/>
        </w:rPr>
        <w:t>号</w:t>
      </w:r>
    </w:p>
    <w:p>
      <w:pPr>
        <w:spacing w:line="240" w:lineRule="auto"/>
        <w:ind w:left="1506" w:leftChars="0" w:right="0" w:rightChars="0" w:hanging="1506" w:hangingChars="500"/>
        <w:rPr>
          <w:rFonts w:hint="eastAsia" w:ascii="仿宋_GB2312" w:hAnsi="仿宋_GB2312" w:eastAsia="仿宋_GB2312" w:cs="仿宋_GB2312"/>
          <w:b w:val="0"/>
          <w:sz w:val="30"/>
          <w:szCs w:val="30"/>
          <w:lang w:eastAsia="zh-CN"/>
        </w:rPr>
      </w:pPr>
      <w:r>
        <w:rPr>
          <w:rFonts w:hint="eastAsia" w:ascii="仿宋_GB2312" w:hAnsi="仿宋_GB2312" w:eastAsia="仿宋_GB2312" w:cs="仿宋_GB2312"/>
          <w:b/>
          <w:bCs/>
          <w:sz w:val="30"/>
          <w:szCs w:val="30"/>
          <w:lang w:eastAsia="zh-CN"/>
        </w:rPr>
        <w:t>案    由</w:t>
      </w:r>
      <w:r>
        <w:rPr>
          <w:rFonts w:hint="eastAsia" w:ascii="仿宋_GB2312" w:hAnsi="仿宋_GB2312" w:eastAsia="仿宋_GB2312" w:cs="仿宋_GB2312"/>
          <w:b w:val="0"/>
          <w:sz w:val="30"/>
          <w:szCs w:val="30"/>
          <w:lang w:eastAsia="zh-CN"/>
        </w:rPr>
        <w:t>：</w:t>
      </w:r>
      <w:r>
        <w:rPr>
          <w:rFonts w:hint="eastAsia" w:ascii="仿宋_GB2312" w:hAnsi="仿宋_GB2312" w:eastAsia="仿宋_GB2312" w:cs="仿宋_GB2312"/>
          <w:b w:val="0"/>
          <w:sz w:val="30"/>
          <w:szCs w:val="30"/>
          <w:lang w:val="en-US" w:eastAsia="zh-CN"/>
        </w:rPr>
        <w:t>关于加快龙华西北部片区轨道交通规划建设的建议</w:t>
      </w:r>
    </w:p>
    <w:p>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提 出 人：</w:t>
      </w:r>
      <w:r>
        <w:rPr>
          <w:rFonts w:hint="eastAsia" w:ascii="仿宋_GB2312" w:hAnsi="仿宋_GB2312" w:eastAsia="仿宋_GB2312" w:cs="仿宋_GB2312"/>
          <w:b w:val="0"/>
          <w:sz w:val="32"/>
          <w:szCs w:val="32"/>
          <w:lang w:val="en-US" w:eastAsia="zh-CN"/>
        </w:rPr>
        <w:t>明亮,陈鹏,宋广军,李晓桃,谢春,张钜</w:t>
      </w:r>
      <w:r>
        <w:rPr>
          <w:rFonts w:hint="eastAsia" w:ascii="仿宋_GB2312" w:hAnsi="仿宋_GB2312" w:eastAsia="仿宋_GB2312" w:cs="仿宋_GB2312"/>
          <w:b w:val="0"/>
          <w:sz w:val="32"/>
          <w:szCs w:val="32"/>
          <w:lang w:val="en-US" w:eastAsia="zh-CN"/>
        </w:rPr>
        <w:t>(共</w:t>
      </w:r>
      <w:r>
        <w:rPr>
          <w:rFonts w:hint="eastAsia" w:ascii="仿宋_GB2312" w:hAnsi="仿宋_GB2312" w:eastAsia="仿宋_GB2312" w:cs="仿宋_GB2312"/>
          <w:b w:val="0"/>
          <w:sz w:val="32"/>
          <w:szCs w:val="32"/>
          <w:lang w:val="en-US" w:eastAsia="zh-CN"/>
        </w:rPr>
        <w:t>6</w:t>
      </w:r>
      <w:r>
        <w:rPr>
          <w:rFonts w:hint="eastAsia" w:ascii="仿宋_GB2312" w:hAnsi="仿宋_GB2312" w:eastAsia="仿宋_GB2312" w:cs="仿宋_GB2312"/>
          <w:b w:val="0"/>
          <w:sz w:val="32"/>
          <w:szCs w:val="32"/>
          <w:lang w:val="en-US" w:eastAsia="zh-CN"/>
        </w:rPr>
        <w:t>名)</w:t>
      </w:r>
    </w:p>
    <w:p>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办理类型：</w:t>
      </w:r>
      <w:r>
        <w:rPr>
          <w:rFonts w:hint="eastAsia" w:ascii="仿宋_GB2312" w:hAnsi="仿宋_GB2312" w:eastAsia="仿宋_GB2312" w:cs="仿宋_GB2312"/>
          <w:b w:val="0"/>
          <w:sz w:val="32"/>
          <w:szCs w:val="32"/>
          <w:lang w:val="en-US" w:eastAsia="zh-CN"/>
        </w:rPr>
        <w:t>分办</w:t>
      </w:r>
    </w:p>
    <w:p>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承办单位：</w:t>
      </w:r>
      <w:r>
        <w:rPr>
          <w:rFonts w:hint="eastAsia" w:ascii="仿宋_GB2312" w:hAnsi="仿宋_GB2312" w:eastAsia="仿宋_GB2312" w:cs="仿宋_GB2312"/>
          <w:b w:val="0"/>
          <w:sz w:val="32"/>
          <w:szCs w:val="32"/>
          <w:lang w:val="en-US" w:eastAsia="zh-CN"/>
        </w:rPr>
        <w:t>市规划和自然资源局,市发展和改革委员会</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内    容：</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一、案由</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龙华西北部片区主要指龙华区环观南路以北、梅观大道以西的区域，涉及福城、观湖、观澜等街道。目前该片区的九龙山数字城已经纳入深圳市级重点区域进行规划建设。除电子科技大学、美团大湾区总部等重大项目外，前不久，华为公司也将新型智能制造基地布局于此。此外，福城南、观湖北两个产业片区的土地整备利益统筹项目也在顺利推进中，可以预见，未来整个片区的产业和空间格局将发生重大变革，将成为深圳乃至大湾区内重要的世界级新兴智能制造产业集聚区和深莞双城、三区（“园区+校区+社区”）融合发展示范新城。从国内外发展经验看，道路交通特别是轨道交通犹如一个区域的“骨骼”和“血脉”，具有长期的基础性和稳定性，也在一定程度上影响甚至决定了区域未来产业和城市的成长性、可塑性，需要更加前瞻的规划建设，但目前该片区在这方面还严重滞后，存在以下问题。</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一是对未来可能陡然突增的交通需求和压力预判不足。在上述背景下，一系列新经济、新产业、新人群的引入将带动片区经济和社会结构的改变，同时对整个片区的民生服务配套，包括交通出行服务提出了更高的要求。尤其值得一提的是华为的进驻，将可能再造一个升级版的“坂田”、“松山湖”，外加电子科技大学、美团大湾区总部等因素，该片区未来可能在短时间内迅速增加上万名的高校师生、科研技术人员和高技能产业工人，新增交通出行需求将会非常明显。但目前对于该片区的道路交通特别是轨道交通的规划建设还较为滞后。在这方面华为在坂田、松山湖的发展都有前车之鉴。时至今日，坂田片区早晚高峰的交通拥堵已经成为常态；而东莞松山湖片区也由于轨道交通规划建设滞后，特别是对进入大湾区时代深莞同城化趋势的预判和应对不足，使得华为公司目前不得不每天租赁数百台大巴解决员工从深圳往返东莞之间的通勤问题。</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二是目前该片区的交通状况已经不容乐观。该片区除上述提及的一系列正在实施推进的重大项目外，沿龙澜大道往北至观光路以及沿线周边地区已有富士康观澜科技园、大富工业区、硅谷动力产业园等一批已经成规模的科技制造产业园区，并涉及章阁、大水坑、桔塘等多个大型人口密集的社区，目前区域人口已经超过30万。同时由于该片区地理位置特殊，往北连接观澜黎光产业园、东莞塘厦镇等，往南连接福城南、观湖北等大地块，往西则连接光明科学城、东莞松山湖等区域，又紧临深圳外环高速、龙澜快速走廊等市内外重要通道，日常的商品物流运输，跨市域、市域内的通勤往来等交通需求相互交织、叠加，道路交通压力已经相当巨大。从福城街道福民、桔塘、章阁等三个人大代表联系站对辖区居民群众所反映的民生问题搜集看，涉及到交通拥堵、道路建设、停车等等方面的问题占了绝大多数，可谓首要的民生热点难题。此外，随着片区内一批城市更新项目以及福安雅园（共4006户）、丰盛懿园（1600户左右，即将入伙）等保障房小区以及九龙山体育公园等一批重大民生设施的陆续落成，整个片区的交通压力更是与日俱增，交通状况更加复杂，部分主干道的交通拥堵甚至成为常态。如果不提早考虑以轨道交通进行有效缓解和分担，未来将会对周边企业、社区以及普通居民群众的生产生活造成更加严重的影响。同时也会将交通压力沿现有主干路网“传导”到九龙山数字城，形成叠加效应，带来积重难返的后果。</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三是目前规划中的21、25、27号等线路还难以有效覆盖该片区。上述片区目前还是“零地铁”状况，并且从目前公示的《深圳市城市轨道交通21号线交通详细规划》（草案）、《深圳市城市轨道交通25号线交通详细规划》（草案）、《深圳市城市轨道交通27号线交通详细规划》（草案）等轨道交通规划看，还主要涉及民治、龙华、大浪街道的部分区域，其中21号线只在龙华区内规划了“白石龙站”，基本相当于“过境”功能，上述线路规划都没有考虑到龙华西北部片区现实和未来的交通压力和交通分担需求，也没有充分该片区作为服务华为、支持华为的重要空间载体所承担的重大战略使命。</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二、建议</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一）建议在深圳城市轨道交通五期建设规划中充分考虑龙华西北部片区在深圳乃至大湾区未来产业和城市发展中的重要意义以及目前企业、社区、居民群众的交通出行叠加压力，合理规划建设更多线路覆盖这一片区。特别建议启动对目前规划建设的轨道17号线、18号线、6号线支线南延线等引入龙华西北部片区可能性的相关研究规划。</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二）建议将目前规划建设的轨道22号进一步向龙华西北部片区延伸。目前《深圳市城市轨道交通22号线交通详细规划》方案成果中已经将轨道交通规划到“黎光”，已经距离龙华西北部片区一步之遥。希望以此为基础，进一步向西北延伸，在章阁、大水坑、桔塘等人口密集社区设置站点，串联现有重要产业园区、发展节点以及重大民生服务设施等。一方面进一步扩大轨道交通的惠及范围和更好发挥现有道路压力的缓解和分担作用，另一方面也为九龙山数字城特别是华为的进驻做好相应的交通服务保障。</w:t>
      </w:r>
    </w:p>
    <w:p>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 w:hAnsi="仿宋" w:eastAsia="仿宋" w:cs="仿宋"/>
          <w:sz w:val="24"/>
          <w:szCs w:val="24"/>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华文仿宋">
    <w:altName w:val="仿宋"/>
    <w:panose1 w:val="02010600040101010101"/>
    <w:charset w:val="86"/>
    <w:family w:val="auto"/>
    <w:pitch w:val="default"/>
    <w:sig w:usb0="00000000" w:usb1="00000000" w:usb2="00000000" w:usb3="00000000" w:csb0="0004009F" w:csb1="DFD7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A26917"/>
    <w:rsid w:val="03FA7913"/>
    <w:rsid w:val="08AD0527"/>
    <w:rsid w:val="0CA81750"/>
    <w:rsid w:val="104457BF"/>
    <w:rsid w:val="142D5EF2"/>
    <w:rsid w:val="1A8370F8"/>
    <w:rsid w:val="1C52129C"/>
    <w:rsid w:val="1D7E45BC"/>
    <w:rsid w:val="1E4C6E49"/>
    <w:rsid w:val="1F7774AB"/>
    <w:rsid w:val="23B47B07"/>
    <w:rsid w:val="28F64EC4"/>
    <w:rsid w:val="2A5B2BC4"/>
    <w:rsid w:val="2AC820BB"/>
    <w:rsid w:val="2DAC5DFC"/>
    <w:rsid w:val="353A69D5"/>
    <w:rsid w:val="35507787"/>
    <w:rsid w:val="36ED4BEC"/>
    <w:rsid w:val="3A1A2BE3"/>
    <w:rsid w:val="49FA03AF"/>
    <w:rsid w:val="4F955F9D"/>
    <w:rsid w:val="526966EA"/>
    <w:rsid w:val="56D80994"/>
    <w:rsid w:val="574C0B47"/>
    <w:rsid w:val="581F309E"/>
    <w:rsid w:val="5F693127"/>
    <w:rsid w:val="66135703"/>
    <w:rsid w:val="6C5816D0"/>
    <w:rsid w:val="6E9C1746"/>
    <w:rsid w:val="70F449E4"/>
    <w:rsid w:val="713C1E52"/>
    <w:rsid w:val="731474DA"/>
    <w:rsid w:val="732C1598"/>
    <w:rsid w:val="73735F79"/>
    <w:rsid w:val="79DA1477"/>
    <w:rsid w:val="7A075E2D"/>
    <w:rsid w:val="7E2F2A5C"/>
    <w:rsid w:val="7F9F389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limjeon</dc:creator>
  <cp:lastModifiedBy>不如吃茶去</cp:lastModifiedBy>
  <dcterms:modified xsi:type="dcterms:W3CDTF">2021-08-23T03:26:00Z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541166959B6841688F680FB6A261768C</vt:lpwstr>
  </property>
</Properties>
</file>