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20220140</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关于梳理及整改“二线关”废弃执勤岗楼现状问题的建议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郭小明,赵广群,赵鹏,吴岗,许静芬,何延文,张娟,朱师达</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8</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市规划和自然资源局(主办),市发展和改革委员会,市公安局,市委政法委</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线关”深圳经济特区的历史标记和特有印记。1980年，深圳经济特区设立，1982年经国务院批准设立“深圳经济特区管理线”（即“二线”、“二线关”），1982年6月开始在深圳特区和非特区之间修建“二线”，1985年3月，“二线”通过国家验收交付使用，东起深圳盐田区梅沙背仔角，西至宝安区南头安乐，全长84.6公里，沿线全部设有铁丝网，整个管理线共有163个武警执勤岗楼，设有10个检查站。2010年5月，中央批准了深圳扩大特区版图的申请。从当年7月1日开始，深圳特区范围延伸至全市，特区总面积扩容为1997平方公里。2014年7月，深圳特区检查站的所有官兵被分流到其他边防单位。至此，深圳“二线”这道“特区管理线”不复存在，只留下关口的建筑和车检通道、安全岛、岗亭等设施。2018年1月15日，国务院同意广东省“关于撤销深圳经济特区管理线的请示”，意味着在中国改革开放40周年之际，存在了36年的“特区管理线”成为历史。撤销二线关使得特区范围扩大，同时也对城市道路、环境绿化、给排水、通讯、市政等基础设施的统一规划、建设与管理提出新的要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废弃执勤岗楼目前主要存在以下问题：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归属及管理维护主体缺失。据了解，东部地区某街道便有废弃执勤岗楼14所，因上述原因及部队转隶移防等多重因素叠加，导致废弃执勤岗楼都未纳入后期的军事管理部门或地方政府管辖范围，目前属于“三无”状态（无所有单位、无管理单位、无维护措施），加之深圳的气候环境，废弃执勤岗楼常年风吹日蚀，钢筋外露，外墙脱落严重，既有碍市容整洁，更存在诸多安全隐患和问题，对深圳一体化建设的整体进程产生不利影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影响市容市貌，存在森防安全隐患。因缺乏管理维护，废弃执勤岗楼破损严重，主要表现在门窗缺失、墙面破旧不堪、房屋结构存在安全隐患，甚至行人过客因内急原因进出大小便，导致卫生现状极差，不仅成为市容市貌的死角，也容易滋生细菌，构成健康安全隐患。某废弃执勤岗楼曾有流浪汉居住并使用枯枝落叶生明火煮饭，存在森林火灾隐患。</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存在人身安全隐患，难以开展救援。废弃执勤岗楼绝大部门分布坐落在绿道边，加之年久失修、缺乏维护，内部房屋结构是否安全无法得知，楼梯与顶层没有护栏设施，且因气候原因导致内部地面湿滑，部分游客及存在猎奇心的探险者会进入废弃执勤岗楼探险，因安全意识淡薄及安全防范措施不到位而容易出现坠落危险，难以迅速开展救援医疗。</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存在治安隐患。存在一定数量的居民、游客在废弃执勤岗楼周边晨跑及单独游玩，而周边无治安视频监控，且相关单位难以及时发现违法犯罪行为并获取有效证据揭露证实犯罪，容易成为不法分子犯罪的作案点和藏污纳垢之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针对上述问题，应该摸清底子、建章立制、对症下药。</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明确归属主体和管理维护单位。要对全市“二线关”全线废弃执勤岗楼的现状进行摸底排查，制定科学的标准对其进行分类梳理，建议按照能用则用、无用则拆的原则进行。当然在实施过程中，对经核实确属军队或国安等敏感单位的，指导职能部门与敏感单位沟通、协调，结合实际情况制定日常维护与管理措施，从基层织牢保密防线，防止泄密等违法犯罪行为的发生。对确属“三无”状态的废弃执勤岗楼，要从根本上解决管理维护、消除安全隐患、重新修葺利用等问题，建议从市一级单位明确管理养护责任，逐级落实到基层部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因地因段制定改造升级方案。废弃执勤岗楼散落分布在南山、福田、罗湖、盐田等行政区，所在的地段周边环境、自然景观等因素各异，要从市级相关部门组织各区的职能部门摸底，在保留历史价值的前提下根据各区、各段的实际情况制定针对性的改造升级方案，凸显各区在经济特区发展历史中的独特面貌及当下发展阶段中的角色定位。如积极打造集“绿道骑行+人文景观”于一体的观光带。废弃执勤岗楼遍布在二线关全线，在结合各区段实际情况的基础上，也要全市统一规划、统一布局，将二线关沿线的自然景观、人文景观融合提升，包括废弃执勤岗楼改造提升再融入，探索建立一条二线关特色的观光带，让更多的年轻人了解深圳二线关这段特殊的历史印记。</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提升完善废弃执勤岗楼的基础功能。经摸底排查，对于可重新利用的执勤岗楼，除了保障房屋基本功能外，可安装监控设施、城市无线网络、5G通信设备等，可考虑将废弃执勤岗楼设置为义工工作站、绿道休息站乃至申请为二线关历史象征的不可移动文物，充分赋予其新生的活力元素。</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配备专职人员、划拨专项资金保障废弃执勤岗楼管理维护工作。统一摸底后应根据各区域的执勤岗楼周边实际，配备专职人员对日常卫生、设施保养、消防安全等重点工作逐一落实执行。从财政支出中划拨专项资金保障废弃执勤岗楼完善装修、设施添设等工作推动。根据管理需要开展常规巡逻，预防违法犯罪行为发生，维护治安秩序稳定。同时加强周边火灾隐患排查整治工作，消除周边环境安全隐患，杜绝各类安全事故发生。</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线关”及其所属的废弃执勤岗楼毫无疑问已完成了其应有的历史使命，它记录了深圳经济特区的诞生及探索道路，同时见证了深圳经济特区新时代发展冲破藩篱的气魄与精神，我们应秉持“不忘初心、牢记使命”的精神，把它作为特区的记忆印象予以保留，同时也要立足特区经济社会发展的最新实际对它注入二次新生的因素。</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