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0"/>
        </w:tabs>
        <w:rPr>
          <w:rFonts w:ascii="仿宋_GB2312" w:hAnsi="黑体" w:eastAsia="仿宋_GB2312" w:cs="宋体"/>
          <w:sz w:val="32"/>
          <w:szCs w:val="32"/>
          <w:lang w:eastAsia="zh-CN"/>
        </w:rPr>
      </w:pPr>
      <w:r>
        <w:rPr>
          <w:rFonts w:ascii="仿宋_GB2312" w:hAnsi="黑体" w:eastAsia="仿宋_GB2312" w:cs="宋体"/>
          <w:sz w:val="32"/>
          <w:szCs w:val="32"/>
          <w:lang w:eastAsia="zh-CN"/>
        </w:rPr>
        <w:tab/>
      </w:r>
      <w:r>
        <w:rPr>
          <w:rFonts w:ascii="Times New Roman" w:hAnsi="Times New Roman" w:eastAsia="仿宋_GB2312" w:cs="Times New Roman"/>
          <w:b/>
          <w:sz w:val="84"/>
          <w:szCs w:val="84"/>
          <w:lang w:eastAsia="zh-CN"/>
        </w:rPr>
        <w:t>DB</w:t>
      </w:r>
    </w:p>
    <w:p>
      <w:pPr>
        <w:spacing w:line="360" w:lineRule="auto"/>
        <w:jc w:val="center"/>
        <w:rPr>
          <w:rFonts w:ascii="黑体" w:hAnsi="黑体" w:eastAsia="黑体" w:cs="宋体"/>
          <w:spacing w:val="20"/>
          <w:sz w:val="48"/>
          <w:szCs w:val="48"/>
          <w:lang w:eastAsia="zh-CN"/>
        </w:rPr>
      </w:pPr>
      <w:r>
        <w:rPr>
          <w:rFonts w:hint="eastAsia" w:ascii="黑体" w:hAnsi="黑体" w:eastAsia="黑体" w:cs="宋体"/>
          <w:spacing w:val="20"/>
          <w:sz w:val="48"/>
          <w:szCs w:val="48"/>
          <w:lang w:eastAsia="zh-CN"/>
        </w:rPr>
        <w:t>深   圳   市   地   方   标   准</w:t>
      </w:r>
    </w:p>
    <w:p>
      <w:pPr>
        <w:jc w:val="center"/>
        <w:rPr>
          <w:rFonts w:ascii="黑体" w:hAnsi="黑体" w:eastAsia="黑体" w:cs="宋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20"/>
          <w:sz w:val="32"/>
          <w:szCs w:val="32"/>
          <w:lang w:eastAsia="zh-CN"/>
        </w:rPr>
        <w:t xml:space="preserve">                                       DZ/T</w:t>
      </w:r>
      <w:r>
        <w:rPr>
          <w:rFonts w:hint="eastAsia" w:ascii="黑体" w:hAnsi="黑体" w:eastAsia="黑体"/>
          <w:sz w:val="32"/>
          <w:szCs w:val="32"/>
          <w:lang w:eastAsia="zh-CN"/>
        </w:rPr>
        <w:t xml:space="preserve"> XX—XX</w:t>
      </w:r>
    </w:p>
    <w:p>
      <w:pPr>
        <w:rPr>
          <w:rFonts w:ascii="黑体" w:hAnsi="黑体" w:eastAsia="黑体" w:cs="宋体"/>
          <w:b/>
          <w:sz w:val="48"/>
          <w:szCs w:val="48"/>
          <w:u w:val="single"/>
          <w:lang w:eastAsia="zh-CN"/>
        </w:rPr>
      </w:pPr>
      <w:r>
        <w:rPr>
          <w:rFonts w:hint="eastAsia" w:ascii="黑体" w:hAnsi="黑体" w:eastAsia="黑体" w:cs="宋体"/>
          <w:b/>
          <w:sz w:val="48"/>
          <w:szCs w:val="48"/>
          <w:u w:val="single"/>
          <w:lang w:eastAsia="zh-CN"/>
        </w:rPr>
        <w:t xml:space="preserve">                                         </w:t>
      </w:r>
    </w:p>
    <w:p>
      <w:pPr>
        <w:jc w:val="center"/>
        <w:rPr>
          <w:rFonts w:ascii="黑体" w:hAnsi="黑体" w:eastAsia="黑体" w:cs="宋体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宋体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="156" w:afterLines="50" w:line="360" w:lineRule="auto"/>
        <w:jc w:val="center"/>
        <w:rPr>
          <w:rFonts w:ascii="黑体" w:hAnsi="黑体" w:eastAsia="黑体" w:cs="宋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深圳市地热矿泉水绿色矿山建设规程</w:t>
      </w:r>
    </w:p>
    <w:p>
      <w:pPr>
        <w:jc w:val="center"/>
        <w:rPr>
          <w:rFonts w:ascii="黑体" w:hAnsi="黑体" w:eastAsia="黑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黑体" w:hAnsi="黑体" w:eastAsia="黑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reen mine construction specification of geothermal and mineral water in Shenzhen</w:t>
      </w:r>
    </w:p>
    <w:p>
      <w:pPr>
        <w:jc w:val="center"/>
        <w:rPr>
          <w:rFonts w:ascii="黑体" w:hAnsi="黑体" w:eastAsia="黑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（报批稿）</w:t>
      </w:r>
    </w:p>
    <w:p>
      <w:pPr>
        <w:spacing w:before="10" w:line="140" w:lineRule="exact"/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rFonts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 xml:space="preserve">XXXX-XX-XX发布                                     XXXX-XX-XX实施                          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before="156" w:beforeLines="50" w:line="500" w:lineRule="exact"/>
        <w:jc w:val="center"/>
        <w:rPr>
          <w:rFonts w:ascii="黑体" w:hAnsi="宋体" w:eastAsia="黑体"/>
          <w:sz w:val="28"/>
          <w:szCs w:val="28"/>
          <w:lang w:eastAsia="zh-CN"/>
        </w:rPr>
      </w:pPr>
    </w:p>
    <w:p>
      <w:pPr>
        <w:widowControl/>
        <w:snapToGrid w:val="0"/>
        <w:spacing w:line="500" w:lineRule="exact"/>
        <w:jc w:val="center"/>
        <w:rPr>
          <w:rFonts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 xml:space="preserve">XXXXXXXXXX </w:t>
      </w:r>
      <w:r>
        <w:rPr>
          <w:rFonts w:hint="eastAsia" w:ascii="黑体" w:hAnsi="宋体" w:eastAsia="黑体"/>
          <w:sz w:val="28"/>
          <w:szCs w:val="28"/>
          <w:lang w:eastAsia="zh-CN"/>
        </w:rPr>
        <w:t xml:space="preserve">     发 布</w:t>
      </w:r>
    </w:p>
    <w:p>
      <w:pPr>
        <w:widowControl/>
        <w:snapToGrid w:val="0"/>
        <w:spacing w:before="156" w:beforeLines="50" w:line="500" w:lineRule="exact"/>
        <w:jc w:val="center"/>
        <w:rPr>
          <w:rFonts w:ascii="黑体" w:hAnsi="宋体" w:eastAsia="黑体"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134" w:bottom="1361" w:left="1418" w:header="851" w:footer="992" w:gutter="0"/>
          <w:cols w:space="425" w:num="1"/>
          <w:titlePg/>
          <w:docGrid w:type="linesAndChar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0" w:name="_Toc26888540"/>
      <w:r>
        <w:rPr>
          <w:rFonts w:ascii="黑体" w:hAnsi="黑体" w:eastAsia="黑体"/>
          <w:sz w:val="32"/>
          <w:szCs w:val="32"/>
          <w:lang w:eastAsia="zh-CN"/>
        </w:rPr>
        <w:t>目</w:t>
      </w:r>
      <w:r>
        <w:rPr>
          <w:rFonts w:ascii="黑体" w:hAnsi="黑体" w:eastAsia="黑体"/>
          <w:sz w:val="32"/>
          <w:szCs w:val="32"/>
          <w:lang w:eastAsia="zh-CN"/>
        </w:rPr>
        <w:tab/>
      </w:r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次</w:t>
      </w:r>
    </w:p>
    <w:p>
      <w:pPr>
        <w:rPr>
          <w:rFonts w:ascii="宋体" w:hAnsi="宋体" w:eastAsia="宋体" w:cs="宋体"/>
          <w:lang w:eastAsia="zh-CN"/>
        </w:rPr>
      </w:pP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rPr>
          <w:rFonts w:cs="宋体"/>
          <w:lang w:eastAsia="zh-CN"/>
        </w:rPr>
        <w:fldChar w:fldCharType="begin"/>
      </w:r>
      <w:r>
        <w:rPr>
          <w:rFonts w:cs="宋体"/>
          <w:lang w:eastAsia="zh-CN"/>
        </w:rPr>
        <w:instrText xml:space="preserve"> TOC \o "1-3" \h \z \u </w:instrText>
      </w:r>
      <w:r>
        <w:rPr>
          <w:rFonts w:cs="宋体"/>
          <w:lang w:eastAsia="zh-CN"/>
        </w:rPr>
        <w:fldChar w:fldCharType="separate"/>
      </w:r>
      <w:r>
        <w:fldChar w:fldCharType="begin"/>
      </w:r>
      <w:r>
        <w:instrText xml:space="preserve"> HYPERLINK \l "_Toc70356264" </w:instrText>
      </w:r>
      <w:r>
        <w:fldChar w:fldCharType="separate"/>
      </w:r>
      <w:r>
        <w:rPr>
          <w:rStyle w:val="16"/>
          <w:rFonts w:hint="eastAsia"/>
          <w:lang w:eastAsia="zh-CN"/>
        </w:rPr>
        <w:t>前</w:t>
      </w:r>
      <w:r>
        <w:rPr>
          <w:rStyle w:val="16"/>
          <w:lang w:eastAsia="zh-CN"/>
        </w:rPr>
        <w:t xml:space="preserve">  </w:t>
      </w:r>
      <w:r>
        <w:rPr>
          <w:rStyle w:val="16"/>
          <w:rFonts w:hint="eastAsia"/>
          <w:lang w:eastAsia="zh-CN"/>
        </w:rPr>
        <w:t>言</w:t>
      </w:r>
      <w:r>
        <w:tab/>
      </w:r>
      <w:r>
        <w:fldChar w:fldCharType="begin"/>
      </w:r>
      <w:r>
        <w:instrText xml:space="preserve"> PAGEREF _Toc70356264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"_Toc70356265"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1 </w:t>
      </w:r>
      <w:r>
        <w:rPr>
          <w:rStyle w:val="16"/>
          <w:rFonts w:hint="eastAsia" w:cs="宋体"/>
          <w:lang w:eastAsia="zh-CN"/>
        </w:rPr>
        <w:t>范围</w:t>
      </w:r>
      <w:r>
        <w:tab/>
      </w:r>
      <w:r>
        <w:fldChar w:fldCharType="begin"/>
      </w:r>
      <w:r>
        <w:instrText xml:space="preserve"> PAGEREF _Toc70356265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"_Toc70356266"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2 </w:t>
      </w:r>
      <w:r>
        <w:rPr>
          <w:rStyle w:val="16"/>
          <w:rFonts w:hint="eastAsia" w:cs="宋体"/>
          <w:lang w:eastAsia="zh-CN"/>
        </w:rPr>
        <w:t>规范性引用文件</w:t>
      </w:r>
      <w:r>
        <w:tab/>
      </w:r>
      <w:r>
        <w:fldChar w:fldCharType="begin"/>
      </w:r>
      <w:r>
        <w:instrText xml:space="preserve"> PAGEREF _Toc70356266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"_Toc70356267"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3 </w:t>
      </w:r>
      <w:r>
        <w:rPr>
          <w:rStyle w:val="16"/>
          <w:rFonts w:hint="eastAsia" w:cs="宋体"/>
          <w:lang w:eastAsia="zh-CN"/>
        </w:rPr>
        <w:t>术语和定义</w:t>
      </w:r>
      <w:r>
        <w:tab/>
      </w:r>
      <w:r>
        <w:fldChar w:fldCharType="begin"/>
      </w:r>
      <w:r>
        <w:instrText xml:space="preserve"> PAGEREF _Toc70356267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"_Toc70356268"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4 </w:t>
      </w:r>
      <w:r>
        <w:rPr>
          <w:rStyle w:val="16"/>
          <w:rFonts w:hint="eastAsia" w:cs="宋体"/>
          <w:lang w:eastAsia="zh-CN"/>
        </w:rPr>
        <w:t>总则</w:t>
      </w:r>
      <w:r>
        <w:tab/>
      </w:r>
      <w:r>
        <w:fldChar w:fldCharType="begin"/>
      </w:r>
      <w:r>
        <w:instrText xml:space="preserve"> PAGEREF _Toc70356268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"_Toc70356269"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5 </w:t>
      </w:r>
      <w:r>
        <w:rPr>
          <w:rStyle w:val="16"/>
          <w:rFonts w:hint="eastAsia" w:cs="宋体"/>
          <w:lang w:eastAsia="zh-CN"/>
        </w:rPr>
        <w:t>规范管理</w:t>
      </w:r>
      <w:r>
        <w:tab/>
      </w:r>
      <w:r>
        <w:fldChar w:fldCharType="begin"/>
      </w:r>
      <w:r>
        <w:instrText xml:space="preserve"> PAGEREF _Toc70356269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"_Toc70356270"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6 </w:t>
      </w:r>
      <w:r>
        <w:rPr>
          <w:rStyle w:val="16"/>
          <w:rFonts w:hint="eastAsia" w:cs="宋体"/>
          <w:lang w:eastAsia="zh-CN"/>
        </w:rPr>
        <w:t>矿区环境</w:t>
      </w:r>
      <w:r>
        <w:tab/>
      </w:r>
      <w:r>
        <w:fldChar w:fldCharType="begin"/>
      </w:r>
      <w:r>
        <w:instrText xml:space="preserve"> PAGEREF _Toc70356270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"_Toc70356271"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7 </w:t>
      </w:r>
      <w:r>
        <w:rPr>
          <w:rStyle w:val="16"/>
          <w:rFonts w:hint="eastAsia" w:cs="宋体"/>
          <w:lang w:eastAsia="zh-CN"/>
        </w:rPr>
        <w:t>资源开发和综合利用</w:t>
      </w:r>
      <w:r>
        <w:tab/>
      </w:r>
      <w:r>
        <w:fldChar w:fldCharType="begin"/>
      </w:r>
      <w:r>
        <w:instrText xml:space="preserve"> PAGEREF _Toc70356271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"_Toc70356272"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7.1 </w:t>
      </w:r>
      <w:r>
        <w:rPr>
          <w:rStyle w:val="16"/>
          <w:rFonts w:hint="eastAsia" w:cs="宋体" w:asciiTheme="minorEastAsia" w:hAnsiTheme="minorEastAsia"/>
          <w:lang w:eastAsia="zh-CN"/>
        </w:rPr>
        <w:t>基本要求</w:t>
      </w:r>
      <w:r>
        <w:tab/>
      </w:r>
      <w:r>
        <w:fldChar w:fldCharType="begin"/>
      </w:r>
      <w:r>
        <w:instrText xml:space="preserve"> PAGEREF _Toc70356272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"_Toc70356273"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7.2 </w:t>
      </w:r>
      <w:r>
        <w:rPr>
          <w:rStyle w:val="16"/>
          <w:rFonts w:hint="eastAsia" w:cs="宋体" w:asciiTheme="minorEastAsia" w:hAnsiTheme="minorEastAsia"/>
          <w:lang w:eastAsia="zh-CN"/>
        </w:rPr>
        <w:t>合理开发</w:t>
      </w:r>
      <w:r>
        <w:tab/>
      </w:r>
      <w:r>
        <w:fldChar w:fldCharType="begin"/>
      </w:r>
      <w:r>
        <w:instrText xml:space="preserve"> PAGEREF _Toc70356273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"_Toc70356274"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7.3 </w:t>
      </w:r>
      <w:r>
        <w:rPr>
          <w:rStyle w:val="16"/>
          <w:rFonts w:hint="eastAsia" w:cs="宋体" w:asciiTheme="minorEastAsia" w:hAnsiTheme="minorEastAsia"/>
          <w:lang w:eastAsia="zh-CN"/>
        </w:rPr>
        <w:t>综合利用</w:t>
      </w:r>
      <w:r>
        <w:tab/>
      </w:r>
      <w:r>
        <w:fldChar w:fldCharType="begin"/>
      </w:r>
      <w:r>
        <w:instrText xml:space="preserve"> PAGEREF _Toc70356274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"_Toc70356275"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7.4 </w:t>
      </w:r>
      <w:r>
        <w:rPr>
          <w:rStyle w:val="16"/>
          <w:rFonts w:hint="eastAsia" w:cs="宋体" w:asciiTheme="minorEastAsia" w:hAnsiTheme="minorEastAsia"/>
          <w:lang w:eastAsia="zh-CN"/>
        </w:rPr>
        <w:t>节能降耗</w:t>
      </w:r>
      <w:r>
        <w:tab/>
      </w:r>
      <w:r>
        <w:fldChar w:fldCharType="begin"/>
      </w:r>
      <w:r>
        <w:instrText xml:space="preserve"> PAGEREF _Toc70356275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"_Toc70356276"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8 </w:t>
      </w:r>
      <w:r>
        <w:rPr>
          <w:rStyle w:val="16"/>
          <w:rFonts w:hint="eastAsia" w:cs="宋体"/>
          <w:lang w:eastAsia="zh-CN"/>
        </w:rPr>
        <w:t>环境保护</w:t>
      </w:r>
      <w:r>
        <w:tab/>
      </w:r>
      <w:r>
        <w:fldChar w:fldCharType="begin"/>
      </w:r>
      <w:r>
        <w:instrText xml:space="preserve"> PAGEREF _Toc70356276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"_Toc70356277"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8.1 </w:t>
      </w:r>
      <w:r>
        <w:rPr>
          <w:rStyle w:val="16"/>
          <w:rFonts w:hint="eastAsia" w:cs="宋体" w:asciiTheme="minorEastAsia" w:hAnsiTheme="minorEastAsia"/>
          <w:lang w:eastAsia="zh-CN"/>
        </w:rPr>
        <w:t>基本要求</w:t>
      </w:r>
      <w:r>
        <w:tab/>
      </w:r>
      <w:r>
        <w:fldChar w:fldCharType="begin"/>
      </w:r>
      <w:r>
        <w:instrText xml:space="preserve"> PAGEREF _Toc70356277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"_Toc70356278"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8.2 </w:t>
      </w:r>
      <w:r>
        <w:rPr>
          <w:rStyle w:val="16"/>
          <w:rFonts w:hint="eastAsia" w:cs="宋体" w:asciiTheme="minorEastAsia" w:hAnsiTheme="minorEastAsia"/>
          <w:lang w:eastAsia="zh-CN"/>
        </w:rPr>
        <w:t>废气和噪声排放控制</w:t>
      </w:r>
      <w:r>
        <w:tab/>
      </w:r>
      <w:r>
        <w:fldChar w:fldCharType="begin"/>
      </w:r>
      <w:r>
        <w:instrText xml:space="preserve"> PAGEREF _Toc70356278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"_Toc70356279"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8.3 </w:t>
      </w:r>
      <w:r>
        <w:rPr>
          <w:rStyle w:val="16"/>
          <w:rFonts w:hint="eastAsia" w:cs="宋体" w:asciiTheme="minorEastAsia" w:hAnsiTheme="minorEastAsia"/>
          <w:lang w:eastAsia="zh-CN"/>
        </w:rPr>
        <w:t>尾水和废水处置</w:t>
      </w:r>
      <w:r>
        <w:tab/>
      </w:r>
      <w:r>
        <w:fldChar w:fldCharType="begin"/>
      </w:r>
      <w:r>
        <w:instrText xml:space="preserve"> PAGEREF _Toc70356279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"_Toc70356280"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8.4 </w:t>
      </w:r>
      <w:r>
        <w:rPr>
          <w:rStyle w:val="16"/>
          <w:rFonts w:hint="eastAsia" w:cs="宋体" w:asciiTheme="minorEastAsia" w:hAnsiTheme="minorEastAsia"/>
          <w:lang w:eastAsia="zh-CN"/>
        </w:rPr>
        <w:t>矿区环境保护</w:t>
      </w:r>
      <w:r>
        <w:tab/>
      </w:r>
      <w:r>
        <w:fldChar w:fldCharType="begin"/>
      </w:r>
      <w:r>
        <w:instrText xml:space="preserve"> PAGEREF _Toc70356280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"_Toc70356281"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9 </w:t>
      </w:r>
      <w:r>
        <w:rPr>
          <w:rStyle w:val="16"/>
          <w:rFonts w:hint="eastAsia" w:cs="宋体"/>
          <w:lang w:eastAsia="zh-CN"/>
        </w:rPr>
        <w:t>科技创新与智能矿山</w:t>
      </w:r>
      <w:r>
        <w:tab/>
      </w:r>
      <w:r>
        <w:fldChar w:fldCharType="begin"/>
      </w:r>
      <w:r>
        <w:instrText xml:space="preserve"> PAGEREF _Toc70356281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"_Toc70356282"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9.1 </w:t>
      </w:r>
      <w:r>
        <w:rPr>
          <w:rStyle w:val="16"/>
          <w:rFonts w:hint="eastAsia" w:cs="宋体" w:asciiTheme="minorEastAsia" w:hAnsiTheme="minorEastAsia"/>
          <w:lang w:eastAsia="zh-CN"/>
        </w:rPr>
        <w:t>科技创新</w:t>
      </w:r>
      <w:r>
        <w:tab/>
      </w:r>
      <w:r>
        <w:fldChar w:fldCharType="begin"/>
      </w:r>
      <w:r>
        <w:instrText xml:space="preserve"> PAGEREF _Toc70356282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"_Toc70356283"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9.2 </w:t>
      </w:r>
      <w:r>
        <w:rPr>
          <w:rStyle w:val="16"/>
          <w:rFonts w:hint="eastAsia" w:cs="宋体" w:asciiTheme="minorEastAsia" w:hAnsiTheme="minorEastAsia"/>
          <w:lang w:eastAsia="zh-CN"/>
        </w:rPr>
        <w:t>智能矿山</w:t>
      </w:r>
      <w:r>
        <w:tab/>
      </w:r>
      <w:r>
        <w:fldChar w:fldCharType="begin"/>
      </w:r>
      <w:r>
        <w:instrText xml:space="preserve"> PAGEREF _Toc70356283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"_Toc70356284" </w:instrText>
      </w:r>
      <w:r>
        <w:fldChar w:fldCharType="separate"/>
      </w:r>
      <w:r>
        <w:rPr>
          <w:rStyle w:val="16"/>
          <w:rFonts w:cs="宋体"/>
          <w:lang w:eastAsia="zh-CN"/>
        </w:rPr>
        <w:t xml:space="preserve">10 </w:t>
      </w:r>
      <w:r>
        <w:rPr>
          <w:rStyle w:val="16"/>
          <w:rFonts w:hint="eastAsia" w:cs="宋体"/>
          <w:lang w:eastAsia="zh-CN"/>
        </w:rPr>
        <w:t>企业管理与企业形象</w:t>
      </w:r>
      <w:r>
        <w:tab/>
      </w:r>
      <w:r>
        <w:fldChar w:fldCharType="begin"/>
      </w:r>
      <w:r>
        <w:instrText xml:space="preserve"> PAGEREF _Toc70356284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"_Toc70356285"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10.1 </w:t>
      </w:r>
      <w:r>
        <w:rPr>
          <w:rStyle w:val="16"/>
          <w:rFonts w:hint="eastAsia" w:cs="宋体" w:asciiTheme="minorEastAsia" w:hAnsiTheme="minorEastAsia"/>
          <w:lang w:eastAsia="zh-CN"/>
        </w:rPr>
        <w:t>企业文化</w:t>
      </w:r>
      <w:r>
        <w:tab/>
      </w:r>
      <w:r>
        <w:fldChar w:fldCharType="begin"/>
      </w:r>
      <w:r>
        <w:instrText xml:space="preserve"> PAGEREF _Toc70356285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"_Toc70356286"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10.2 </w:t>
      </w:r>
      <w:r>
        <w:rPr>
          <w:rStyle w:val="16"/>
          <w:rFonts w:hint="eastAsia" w:cs="宋体" w:asciiTheme="minorEastAsia" w:hAnsiTheme="minorEastAsia"/>
          <w:lang w:eastAsia="zh-CN"/>
        </w:rPr>
        <w:t>企业管理</w:t>
      </w:r>
      <w:r>
        <w:tab/>
      </w:r>
      <w:r>
        <w:fldChar w:fldCharType="begin"/>
      </w:r>
      <w:r>
        <w:instrText xml:space="preserve"> PAGEREF _Toc70356286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"_Toc70356287"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10.3 </w:t>
      </w:r>
      <w:r>
        <w:rPr>
          <w:rStyle w:val="16"/>
          <w:rFonts w:hint="eastAsia" w:cs="宋体" w:asciiTheme="minorEastAsia" w:hAnsiTheme="minorEastAsia"/>
          <w:lang w:eastAsia="zh-CN"/>
        </w:rPr>
        <w:t>企业诚信</w:t>
      </w:r>
      <w:r>
        <w:tab/>
      </w:r>
      <w:r>
        <w:fldChar w:fldCharType="begin"/>
      </w:r>
      <w:r>
        <w:instrText xml:space="preserve"> PAGEREF _Toc70356287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0"/>
        </w:tabs>
        <w:spacing w:before="0" w:line="360" w:lineRule="auto"/>
        <w:ind w:left="103" w:leftChars="47" w:firstLine="210" w:firstLineChars="100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"_Toc70356288" </w:instrText>
      </w:r>
      <w:r>
        <w:fldChar w:fldCharType="separate"/>
      </w:r>
      <w:r>
        <w:rPr>
          <w:rStyle w:val="16"/>
          <w:rFonts w:cs="宋体" w:asciiTheme="minorEastAsia" w:hAnsiTheme="minorEastAsia"/>
          <w:lang w:eastAsia="zh-CN"/>
        </w:rPr>
        <w:t xml:space="preserve">10.4 </w:t>
      </w:r>
      <w:r>
        <w:rPr>
          <w:rStyle w:val="16"/>
          <w:rFonts w:hint="eastAsia" w:cs="宋体" w:asciiTheme="minorEastAsia" w:hAnsiTheme="minorEastAsia"/>
          <w:lang w:eastAsia="zh-CN"/>
        </w:rPr>
        <w:t>企地和谐</w:t>
      </w:r>
      <w:r>
        <w:tab/>
      </w:r>
      <w:r>
        <w:fldChar w:fldCharType="begin"/>
      </w:r>
      <w:r>
        <w:instrText xml:space="preserve"> PAGEREF _Toc70356288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0"/>
        </w:tabs>
        <w:spacing w:before="0" w:line="360" w:lineRule="auto"/>
        <w:rPr>
          <w:rFonts w:asciiTheme="minorHAnsi" w:hAnsiTheme="minorHAnsi" w:eastAsiaTheme="minorEastAsia"/>
          <w:kern w:val="2"/>
          <w:lang w:eastAsia="zh-CN"/>
        </w:rPr>
      </w:pPr>
      <w:r>
        <w:fldChar w:fldCharType="begin"/>
      </w:r>
      <w:r>
        <w:instrText xml:space="preserve"> HYPERLINK \l "_Toc70356289" </w:instrText>
      </w:r>
      <w:r>
        <w:fldChar w:fldCharType="separate"/>
      </w:r>
      <w:r>
        <w:rPr>
          <w:rStyle w:val="16"/>
          <w:rFonts w:hint="eastAsia"/>
          <w:lang w:eastAsia="zh-CN"/>
        </w:rPr>
        <w:t>参考文献</w:t>
      </w:r>
      <w:r>
        <w:tab/>
      </w:r>
      <w:r>
        <w:fldChar w:fldCharType="begin"/>
      </w:r>
      <w:r>
        <w:instrText xml:space="preserve"> PAGEREF _Toc70356289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spacing w:line="360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fldChar w:fldCharType="end"/>
      </w:r>
    </w:p>
    <w:p>
      <w:pPr>
        <w:rPr>
          <w:rFonts w:ascii="宋体" w:hAnsi="宋体" w:eastAsia="宋体" w:cs="宋体"/>
          <w:lang w:eastAsia="zh-CN"/>
        </w:rPr>
      </w:pPr>
    </w:p>
    <w:p>
      <w:pPr>
        <w:rPr>
          <w:rFonts w:ascii="宋体" w:hAnsi="宋体" w:eastAsia="宋体" w:cs="宋体"/>
          <w:lang w:eastAsia="zh-CN"/>
        </w:rPr>
      </w:pPr>
    </w:p>
    <w:p>
      <w:pPr>
        <w:rPr>
          <w:rFonts w:ascii="宋体" w:hAnsi="宋体" w:eastAsia="宋体" w:cs="宋体"/>
          <w:lang w:eastAsia="zh-CN"/>
        </w:rPr>
      </w:pPr>
    </w:p>
    <w:p>
      <w:pPr>
        <w:rPr>
          <w:rFonts w:ascii="宋体" w:hAnsi="宋体" w:eastAsia="宋体" w:cs="宋体"/>
          <w:lang w:eastAsia="zh-CN"/>
        </w:rPr>
      </w:pPr>
    </w:p>
    <w:p>
      <w:pPr>
        <w:rPr>
          <w:rFonts w:ascii="宋体" w:hAnsi="宋体" w:eastAsia="宋体" w:cs="宋体"/>
          <w:lang w:eastAsia="zh-CN"/>
        </w:rPr>
      </w:pPr>
    </w:p>
    <w:p>
      <w:pPr>
        <w:rPr>
          <w:rFonts w:ascii="宋体" w:hAnsi="宋体" w:eastAsia="宋体" w:cs="宋体"/>
          <w:lang w:eastAsia="zh-CN"/>
        </w:rPr>
      </w:pPr>
    </w:p>
    <w:p>
      <w:pPr>
        <w:pStyle w:val="2"/>
        <w:spacing w:after="240" w:afterLines="100"/>
        <w:ind w:left="6"/>
        <w:jc w:val="center"/>
        <w:rPr>
          <w:lang w:eastAsia="zh-CN"/>
        </w:rPr>
      </w:pPr>
      <w:bookmarkStart w:id="1" w:name="_Toc70356264"/>
      <w:bookmarkStart w:id="2" w:name="_Toc70329360"/>
      <w:r>
        <w:rPr>
          <w:rFonts w:hint="eastAsia"/>
          <w:lang w:eastAsia="zh-CN"/>
        </w:rPr>
        <w:t>前  言</w:t>
      </w:r>
      <w:bookmarkEnd w:id="1"/>
      <w:bookmarkEnd w:id="2"/>
    </w:p>
    <w:p>
      <w:pPr>
        <w:rPr>
          <w:lang w:eastAsia="zh-CN"/>
        </w:rPr>
      </w:pPr>
    </w:p>
    <w:p>
      <w:pPr>
        <w:spacing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本文件按照GB/T1.1-2009《标准化工作导则  第1部分：标准的结构和编写》给出的规则起草。</w:t>
      </w:r>
    </w:p>
    <w:p>
      <w:pPr>
        <w:spacing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本文件由深圳市规划和自然资源局</w:t>
      </w:r>
      <w:bookmarkStart w:id="103" w:name="_GoBack"/>
      <w:bookmarkEnd w:id="103"/>
      <w:r>
        <w:rPr>
          <w:rFonts w:hint="eastAsia"/>
          <w:sz w:val="21"/>
          <w:szCs w:val="21"/>
          <w:lang w:eastAsia="zh-CN"/>
        </w:rPr>
        <w:t>提出并归口。</w:t>
      </w:r>
    </w:p>
    <w:p>
      <w:pPr>
        <w:spacing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本文件主要起草单位：深圳市不动产评估中心（深圳市地质环境监测中心）</w:t>
      </w:r>
    </w:p>
    <w:p>
      <w:pPr>
        <w:spacing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本文件主要起草人：</w:t>
      </w:r>
    </w:p>
    <w:p>
      <w:pPr>
        <w:rPr>
          <w:sz w:val="20"/>
          <w:szCs w:val="20"/>
          <w:lang w:eastAsia="zh-CN"/>
        </w:rPr>
        <w:sectPr>
          <w:footerReference r:id="rId6" w:type="default"/>
          <w:pgSz w:w="11910" w:h="16840"/>
          <w:pgMar w:top="1661" w:right="1134" w:bottom="1338" w:left="1418" w:header="720" w:footer="1140" w:gutter="0"/>
          <w:pgNumType w:fmt="upperRoman" w:start="1"/>
          <w:cols w:space="720" w:num="1"/>
        </w:sectPr>
      </w:pPr>
    </w:p>
    <w:p>
      <w:pPr>
        <w:spacing w:before="120" w:beforeLines="50" w:after="120" w:afterLines="50" w:line="360" w:lineRule="auto"/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3" w:name="_Toc26888541"/>
      <w:r>
        <w:rPr>
          <w:rFonts w:hint="eastAsia" w:ascii="黑体" w:hAnsi="黑体" w:eastAsia="黑体"/>
          <w:sz w:val="32"/>
          <w:szCs w:val="32"/>
          <w:lang w:eastAsia="zh-CN"/>
        </w:rPr>
        <w:t>深圳市地热矿泉水</w:t>
      </w:r>
      <w:r>
        <w:rPr>
          <w:rFonts w:ascii="黑体" w:hAnsi="黑体" w:eastAsia="黑体"/>
          <w:sz w:val="32"/>
          <w:szCs w:val="32"/>
          <w:lang w:eastAsia="zh-CN"/>
        </w:rPr>
        <w:t>绿色矿山建设</w:t>
      </w:r>
      <w:bookmarkEnd w:id="3"/>
      <w:r>
        <w:rPr>
          <w:rFonts w:hint="eastAsia" w:ascii="黑体" w:hAnsi="黑体" w:eastAsia="黑体"/>
          <w:sz w:val="32"/>
          <w:szCs w:val="32"/>
          <w:lang w:eastAsia="zh-CN"/>
        </w:rPr>
        <w:t>规程</w:t>
      </w: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2"/>
        <w:spacing w:before="260" w:after="260" w:line="400" w:lineRule="exact"/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4" w:name="_bookmark1"/>
      <w:bookmarkEnd w:id="4"/>
      <w:bookmarkStart w:id="5" w:name="_Toc510945094"/>
      <w:bookmarkStart w:id="6" w:name="_Toc508716552"/>
      <w:bookmarkStart w:id="7" w:name="_Toc535958969"/>
      <w:bookmarkStart w:id="8" w:name="_Toc508717060"/>
      <w:bookmarkStart w:id="9" w:name="_Toc508716699"/>
      <w:bookmarkStart w:id="10" w:name="_Toc525824510"/>
      <w:bookmarkStart w:id="11" w:name="_Toc70356265"/>
      <w:bookmarkStart w:id="12" w:name="_Toc510168914"/>
      <w:bookmarkStart w:id="13" w:name="_Toc509051899"/>
      <w:bookmarkStart w:id="14" w:name="_Toc535949591"/>
      <w:bookmarkStart w:id="15" w:name="_Toc535959156"/>
      <w:bookmarkStart w:id="16" w:name="_Toc527121675"/>
      <w:bookmarkStart w:id="17" w:name="_Toc527137434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1 范围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5"/>
        <w:spacing w:line="360" w:lineRule="auto"/>
        <w:ind w:left="0" w:firstLine="420" w:firstLineChars="200"/>
        <w:rPr>
          <w:lang w:eastAsia="zh-CN"/>
        </w:rPr>
      </w:pPr>
      <w:r>
        <w:rPr>
          <w:lang w:eastAsia="zh-CN"/>
        </w:rPr>
        <w:t>本文件规定了深圳市地热矿泉水行业绿色矿山建设的基本要求，涵盖矿山建设期、运行期和关闭期全过程的</w:t>
      </w:r>
      <w:r>
        <w:rPr>
          <w:rFonts w:hint="eastAsia"/>
          <w:lang w:eastAsia="zh-CN"/>
        </w:rPr>
        <w:t>生产</w:t>
      </w:r>
      <w:r>
        <w:rPr>
          <w:lang w:eastAsia="zh-CN"/>
        </w:rPr>
        <w:t>活动，以及矿区环境、资源开发和综合利用、矿山环境保护、科技创新与智能矿山、企业管理与企业形象</w:t>
      </w:r>
      <w:r>
        <w:rPr>
          <w:rFonts w:hint="eastAsia"/>
          <w:lang w:eastAsia="zh-CN"/>
        </w:rPr>
        <w:t>等</w:t>
      </w:r>
      <w:r>
        <w:rPr>
          <w:lang w:eastAsia="zh-CN"/>
        </w:rPr>
        <w:t>方面的要求。</w:t>
      </w:r>
    </w:p>
    <w:p>
      <w:pPr>
        <w:pStyle w:val="5"/>
        <w:spacing w:line="360" w:lineRule="auto"/>
        <w:ind w:left="0" w:firstLine="420" w:firstLineChars="200"/>
        <w:rPr>
          <w:lang w:eastAsia="zh-CN"/>
        </w:rPr>
      </w:pPr>
      <w:r>
        <w:rPr>
          <w:lang w:eastAsia="zh-CN"/>
        </w:rPr>
        <w:t>本规程适用于</w:t>
      </w:r>
      <w:r>
        <w:rPr>
          <w:rFonts w:hint="eastAsia"/>
          <w:lang w:eastAsia="zh-CN"/>
        </w:rPr>
        <w:t>深圳市范围内地热矿泉水</w:t>
      </w:r>
      <w:r>
        <w:rPr>
          <w:lang w:eastAsia="zh-CN"/>
        </w:rPr>
        <w:t>新建、改扩建和生产矿山的绿色矿山建设。</w:t>
      </w:r>
    </w:p>
    <w:p>
      <w:pPr>
        <w:pStyle w:val="2"/>
        <w:spacing w:before="260" w:after="260" w:line="400" w:lineRule="exact"/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18" w:name="_Toc70356266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2 </w:t>
      </w:r>
      <w:bookmarkStart w:id="19" w:name="_Toc525824511"/>
      <w:bookmarkStart w:id="20" w:name="_Toc535949592"/>
      <w:bookmarkStart w:id="21" w:name="_Toc508717061"/>
      <w:bookmarkStart w:id="22" w:name="_Toc508716553"/>
      <w:bookmarkStart w:id="23" w:name="_Toc535959157"/>
      <w:bookmarkStart w:id="24" w:name="_Toc508716700"/>
      <w:bookmarkStart w:id="25" w:name="_Toc535958970"/>
      <w:bookmarkStart w:id="26" w:name="_Toc527121676"/>
      <w:bookmarkStart w:id="27" w:name="_Toc510168915"/>
      <w:bookmarkStart w:id="28" w:name="_Toc510945095"/>
      <w:bookmarkStart w:id="29" w:name="_Toc527137435"/>
      <w:bookmarkStart w:id="30" w:name="_Toc509051900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规范性引用文件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>
      <w:pPr>
        <w:pStyle w:val="5"/>
        <w:spacing w:line="360" w:lineRule="auto"/>
        <w:ind w:firstLine="420"/>
        <w:rPr>
          <w:spacing w:val="-2"/>
          <w:lang w:eastAsia="zh-CN"/>
        </w:rPr>
      </w:pPr>
      <w:r>
        <w:rPr>
          <w:lang w:eastAsia="zh-CN"/>
        </w:rPr>
        <w:t>下列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对</w:t>
      </w:r>
      <w:r>
        <w:rPr>
          <w:lang w:eastAsia="zh-CN"/>
        </w:rPr>
        <w:t>于</w:t>
      </w:r>
      <w:r>
        <w:rPr>
          <w:spacing w:val="-3"/>
          <w:lang w:eastAsia="zh-CN"/>
        </w:rPr>
        <w:t>本</w:t>
      </w:r>
      <w:r>
        <w:rPr>
          <w:lang w:eastAsia="zh-CN"/>
        </w:rPr>
        <w:t>文件的</w:t>
      </w:r>
      <w:r>
        <w:rPr>
          <w:spacing w:val="-3"/>
          <w:lang w:eastAsia="zh-CN"/>
        </w:rPr>
        <w:t>应</w:t>
      </w:r>
      <w:r>
        <w:rPr>
          <w:lang w:eastAsia="zh-CN"/>
        </w:rPr>
        <w:t>用是</w:t>
      </w:r>
      <w:r>
        <w:rPr>
          <w:spacing w:val="-3"/>
          <w:lang w:eastAsia="zh-CN"/>
        </w:rPr>
        <w:t>必</w:t>
      </w:r>
      <w:r>
        <w:rPr>
          <w:lang w:eastAsia="zh-CN"/>
        </w:rPr>
        <w:t>不</w:t>
      </w:r>
      <w:r>
        <w:rPr>
          <w:spacing w:val="-3"/>
          <w:lang w:eastAsia="zh-CN"/>
        </w:rPr>
        <w:t>可</w:t>
      </w:r>
      <w:r>
        <w:rPr>
          <w:lang w:eastAsia="zh-CN"/>
        </w:rPr>
        <w:t>少</w:t>
      </w:r>
      <w:r>
        <w:rPr>
          <w:spacing w:val="-3"/>
          <w:lang w:eastAsia="zh-CN"/>
        </w:rPr>
        <w:t>的</w:t>
      </w:r>
      <w:r>
        <w:rPr>
          <w:spacing w:val="-48"/>
          <w:lang w:eastAsia="zh-CN"/>
        </w:rPr>
        <w:t>。</w:t>
      </w:r>
      <w:r>
        <w:rPr>
          <w:spacing w:val="-3"/>
          <w:lang w:eastAsia="zh-CN"/>
        </w:rPr>
        <w:t>凡</w:t>
      </w:r>
      <w:r>
        <w:rPr>
          <w:lang w:eastAsia="zh-CN"/>
        </w:rPr>
        <w:t>是</w:t>
      </w:r>
      <w:r>
        <w:rPr>
          <w:spacing w:val="-3"/>
          <w:lang w:eastAsia="zh-CN"/>
        </w:rPr>
        <w:t>注明</w:t>
      </w:r>
      <w:r>
        <w:rPr>
          <w:lang w:eastAsia="zh-CN"/>
        </w:rPr>
        <w:t>日期</w:t>
      </w:r>
      <w:r>
        <w:rPr>
          <w:spacing w:val="-3"/>
          <w:lang w:eastAsia="zh-CN"/>
        </w:rPr>
        <w:t>的</w:t>
      </w:r>
      <w:r>
        <w:rPr>
          <w:lang w:eastAsia="zh-CN"/>
        </w:rPr>
        <w:t>引</w:t>
      </w:r>
      <w:r>
        <w:rPr>
          <w:spacing w:val="-3"/>
          <w:lang w:eastAsia="zh-CN"/>
        </w:rPr>
        <w:t>用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仅注</w:t>
      </w:r>
      <w:r>
        <w:rPr>
          <w:lang w:eastAsia="zh-CN"/>
        </w:rPr>
        <w:t>日期</w:t>
      </w:r>
      <w:r>
        <w:rPr>
          <w:spacing w:val="-3"/>
          <w:lang w:eastAsia="zh-CN"/>
        </w:rPr>
        <w:t>的</w:t>
      </w:r>
      <w:r>
        <w:rPr>
          <w:lang w:eastAsia="zh-CN"/>
        </w:rPr>
        <w:t>版</w:t>
      </w:r>
      <w:r>
        <w:rPr>
          <w:spacing w:val="-3"/>
          <w:lang w:eastAsia="zh-CN"/>
        </w:rPr>
        <w:t>本</w:t>
      </w:r>
      <w:r>
        <w:rPr>
          <w:lang w:eastAsia="zh-CN"/>
        </w:rPr>
        <w:t>适</w:t>
      </w:r>
      <w:r>
        <w:rPr>
          <w:spacing w:val="-3"/>
          <w:lang w:eastAsia="zh-CN"/>
        </w:rPr>
        <w:t>用于本</w:t>
      </w:r>
      <w:r>
        <w:rPr>
          <w:lang w:eastAsia="zh-CN"/>
        </w:rPr>
        <w:t>规范</w:t>
      </w:r>
      <w:r>
        <w:rPr>
          <w:spacing w:val="-2"/>
          <w:lang w:eastAsia="zh-CN"/>
        </w:rPr>
        <w:t>。凡是不注日期的引用文件，其最新版本（包括所有的修改单）适用于本规范。</w:t>
      </w:r>
    </w:p>
    <w:p>
      <w:pPr>
        <w:spacing w:line="360" w:lineRule="auto"/>
        <w:ind w:right="266" w:firstLine="420" w:firstLineChars="200"/>
        <w:contextualSpacing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GB/T 11615-2010  地热资源地质勘查规范 </w:t>
      </w:r>
    </w:p>
    <w:p>
      <w:pPr>
        <w:spacing w:line="360" w:lineRule="auto"/>
        <w:ind w:right="266" w:firstLine="420" w:firstLineChars="200"/>
        <w:contextualSpacing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GB 5084-2005  农田灌溉水质标准 </w:t>
      </w:r>
    </w:p>
    <w:p>
      <w:pPr>
        <w:pStyle w:val="5"/>
        <w:tabs>
          <w:tab w:val="left" w:pos="1484"/>
        </w:tabs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lang w:eastAsia="zh-CN"/>
        </w:rPr>
        <w:t>GB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 T 13727 </w:t>
      </w:r>
      <w:r>
        <w:rPr>
          <w:rFonts w:hint="eastAsia"/>
          <w:lang w:eastAsia="zh-CN"/>
        </w:rPr>
        <w:t xml:space="preserve">-2016  </w:t>
      </w:r>
      <w:r>
        <w:rPr>
          <w:rFonts w:hint="eastAsia" w:cs="宋体"/>
          <w:lang w:eastAsia="zh-CN"/>
        </w:rPr>
        <w:t>天然矿泉水资源地质勘查规范</w:t>
      </w:r>
      <w:r>
        <w:rPr>
          <w:rFonts w:cs="宋体"/>
          <w:lang w:eastAsia="zh-CN"/>
        </w:rPr>
        <w:t xml:space="preserve"> </w:t>
      </w:r>
    </w:p>
    <w:p>
      <w:pPr>
        <w:pStyle w:val="5"/>
        <w:tabs>
          <w:tab w:val="left" w:pos="1484"/>
        </w:tabs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lang w:eastAsia="zh-CN"/>
        </w:rPr>
        <w:t>GB 8537</w:t>
      </w:r>
      <w:r>
        <w:rPr>
          <w:rFonts w:hint="eastAsia"/>
          <w:lang w:eastAsia="zh-CN"/>
        </w:rPr>
        <w:t xml:space="preserve">  </w:t>
      </w:r>
      <w:r>
        <w:rPr>
          <w:rFonts w:hint="eastAsia" w:cs="宋体"/>
          <w:lang w:eastAsia="zh-CN"/>
        </w:rPr>
        <w:t>饮用天然矿泉水标准</w:t>
      </w:r>
    </w:p>
    <w:p>
      <w:pPr>
        <w:pStyle w:val="5"/>
        <w:spacing w:line="360" w:lineRule="auto"/>
        <w:ind w:left="0" w:firstLine="420" w:firstLineChars="200"/>
        <w:rPr>
          <w:lang w:eastAsia="zh-CN"/>
        </w:rPr>
      </w:pPr>
      <w:r>
        <w:rPr>
          <w:rFonts w:cs="宋体"/>
          <w:lang w:eastAsia="zh-CN"/>
        </w:rPr>
        <w:t xml:space="preserve">GBZ </w:t>
      </w:r>
      <w:r>
        <w:rPr>
          <w:rFonts w:cs="宋体"/>
          <w:spacing w:val="-1"/>
          <w:lang w:eastAsia="zh-CN"/>
        </w:rPr>
        <w:t>2.2</w:t>
      </w:r>
      <w:r>
        <w:rPr>
          <w:rFonts w:hint="eastAsia" w:cs="宋体"/>
          <w:spacing w:val="-1"/>
          <w:lang w:eastAsia="zh-CN"/>
        </w:rPr>
        <w:t xml:space="preserve">  </w:t>
      </w:r>
      <w:r>
        <w:rPr>
          <w:spacing w:val="-2"/>
          <w:lang w:eastAsia="zh-CN"/>
        </w:rPr>
        <w:t>工作场所有害因素职业接触限值</w:t>
      </w:r>
    </w:p>
    <w:p>
      <w:pPr>
        <w:pStyle w:val="5"/>
        <w:spacing w:line="360" w:lineRule="auto"/>
        <w:ind w:left="0" w:firstLine="420" w:firstLineChars="200"/>
        <w:rPr>
          <w:spacing w:val="-2"/>
          <w:lang w:eastAsia="zh-CN"/>
        </w:rPr>
      </w:pPr>
      <w:r>
        <w:rPr>
          <w:rFonts w:cs="宋体"/>
          <w:lang w:eastAsia="zh-CN"/>
        </w:rPr>
        <w:t>GBJ 22</w:t>
      </w:r>
      <w:r>
        <w:rPr>
          <w:rFonts w:hint="eastAsia" w:cs="宋体"/>
          <w:lang w:eastAsia="zh-CN"/>
        </w:rPr>
        <w:t xml:space="preserve">  </w:t>
      </w:r>
      <w:r>
        <w:rPr>
          <w:spacing w:val="-2"/>
          <w:lang w:eastAsia="zh-CN"/>
        </w:rPr>
        <w:t>厂矿道路设计规范</w:t>
      </w:r>
    </w:p>
    <w:p>
      <w:pPr>
        <w:pStyle w:val="5"/>
        <w:spacing w:line="360" w:lineRule="auto"/>
        <w:ind w:left="0" w:firstLine="420" w:firstLineChars="200"/>
        <w:rPr>
          <w:spacing w:val="-2"/>
          <w:lang w:eastAsia="zh-CN"/>
        </w:rPr>
      </w:pPr>
      <w:r>
        <w:rPr>
          <w:rFonts w:hint="eastAsia" w:cs="宋体"/>
          <w:lang w:eastAsia="zh-CN"/>
        </w:rPr>
        <w:t>GB3095-2012  环境空</w:t>
      </w:r>
      <w:r>
        <w:rPr>
          <w:rFonts w:hint="eastAsia"/>
          <w:lang w:eastAsia="zh-CN"/>
        </w:rPr>
        <w:t>气质量标准</w:t>
      </w:r>
    </w:p>
    <w:p>
      <w:pPr>
        <w:pStyle w:val="5"/>
        <w:spacing w:line="360" w:lineRule="auto"/>
        <w:ind w:left="0" w:firstLine="412" w:firstLineChars="200"/>
        <w:rPr>
          <w:spacing w:val="-2"/>
          <w:lang w:eastAsia="zh-CN"/>
        </w:rPr>
      </w:pPr>
      <w:r>
        <w:rPr>
          <w:spacing w:val="-2"/>
          <w:lang w:eastAsia="zh-CN"/>
        </w:rPr>
        <w:t>GB 3838</w:t>
      </w:r>
      <w:r>
        <w:rPr>
          <w:rFonts w:hint="eastAsia"/>
          <w:spacing w:val="-2"/>
          <w:lang w:eastAsia="zh-CN"/>
        </w:rPr>
        <w:t xml:space="preserve">  </w:t>
      </w:r>
      <w:r>
        <w:rPr>
          <w:spacing w:val="-2"/>
          <w:lang w:eastAsia="zh-CN"/>
        </w:rPr>
        <w:t>地表水环境质量标准</w:t>
      </w:r>
    </w:p>
    <w:p>
      <w:pPr>
        <w:pStyle w:val="5"/>
        <w:tabs>
          <w:tab w:val="left" w:pos="1484"/>
        </w:tabs>
        <w:spacing w:line="360" w:lineRule="auto"/>
        <w:ind w:left="0" w:firstLine="412" w:firstLineChars="200"/>
        <w:rPr>
          <w:spacing w:val="-2"/>
          <w:lang w:eastAsia="zh-CN"/>
        </w:rPr>
      </w:pPr>
      <w:r>
        <w:rPr>
          <w:spacing w:val="-2"/>
          <w:lang w:eastAsia="zh-CN"/>
        </w:rPr>
        <w:t>GB 8978</w:t>
      </w:r>
      <w:r>
        <w:rPr>
          <w:rFonts w:hint="eastAsia"/>
          <w:spacing w:val="-2"/>
          <w:lang w:eastAsia="zh-CN"/>
        </w:rPr>
        <w:t xml:space="preserve">-1996  </w:t>
      </w:r>
      <w:r>
        <w:rPr>
          <w:spacing w:val="-2"/>
          <w:lang w:eastAsia="zh-CN"/>
        </w:rPr>
        <w:t>污水综合排放标准</w:t>
      </w:r>
    </w:p>
    <w:p>
      <w:pPr>
        <w:pStyle w:val="5"/>
        <w:tabs>
          <w:tab w:val="left" w:pos="1484"/>
        </w:tabs>
        <w:spacing w:line="360" w:lineRule="auto"/>
        <w:ind w:left="0" w:firstLine="412" w:firstLineChars="200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DB 4426  水污染物排放限值</w:t>
      </w:r>
    </w:p>
    <w:p>
      <w:pPr>
        <w:pStyle w:val="5"/>
        <w:tabs>
          <w:tab w:val="left" w:pos="1589"/>
        </w:tabs>
        <w:spacing w:line="360" w:lineRule="auto"/>
        <w:ind w:left="0" w:firstLine="412" w:firstLineChars="200"/>
        <w:rPr>
          <w:lang w:eastAsia="zh-CN"/>
        </w:rPr>
      </w:pPr>
      <w:r>
        <w:rPr>
          <w:spacing w:val="-2"/>
          <w:lang w:eastAsia="zh-CN"/>
        </w:rPr>
        <w:t>GB 12348</w:t>
      </w:r>
      <w:r>
        <w:rPr>
          <w:rFonts w:hint="eastAsia"/>
          <w:spacing w:val="-2"/>
          <w:lang w:eastAsia="zh-CN"/>
        </w:rPr>
        <w:t xml:space="preserve">-2008  </w:t>
      </w:r>
      <w:r>
        <w:rPr>
          <w:spacing w:val="-2"/>
          <w:lang w:eastAsia="zh-CN"/>
        </w:rPr>
        <w:t>工业企业厂界环境噪声排放标准</w:t>
      </w:r>
    </w:p>
    <w:p>
      <w:pPr>
        <w:pStyle w:val="5"/>
        <w:spacing w:line="360" w:lineRule="auto"/>
        <w:ind w:left="0" w:firstLine="420" w:firstLineChars="200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12523</w:t>
      </w:r>
      <w:r>
        <w:rPr>
          <w:rFonts w:hint="eastAsia" w:cs="宋体"/>
          <w:spacing w:val="-1"/>
          <w:lang w:eastAsia="zh-CN"/>
        </w:rPr>
        <w:t xml:space="preserve">  </w:t>
      </w:r>
      <w:r>
        <w:rPr>
          <w:spacing w:val="-2"/>
          <w:lang w:eastAsia="zh-CN"/>
        </w:rPr>
        <w:t>建筑施工场界环境噪声排放标准</w:t>
      </w:r>
    </w:p>
    <w:p>
      <w:pPr>
        <w:pStyle w:val="5"/>
        <w:tabs>
          <w:tab w:val="left" w:pos="1589"/>
        </w:tabs>
        <w:spacing w:line="360" w:lineRule="auto"/>
        <w:ind w:left="0" w:firstLine="420" w:firstLineChars="200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14161</w:t>
      </w:r>
      <w:r>
        <w:rPr>
          <w:rFonts w:hint="eastAsia" w:cs="宋体"/>
          <w:spacing w:val="-1"/>
          <w:lang w:eastAsia="zh-CN"/>
        </w:rPr>
        <w:t xml:space="preserve">-2008  </w:t>
      </w:r>
      <w:r>
        <w:rPr>
          <w:spacing w:val="-1"/>
          <w:lang w:eastAsia="zh-CN"/>
        </w:rPr>
        <w:t>矿山安全标志</w:t>
      </w:r>
    </w:p>
    <w:p>
      <w:pPr>
        <w:pStyle w:val="5"/>
        <w:spacing w:line="360" w:lineRule="auto"/>
        <w:ind w:left="0" w:firstLine="420" w:firstLineChars="200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16297</w:t>
      </w:r>
      <w:r>
        <w:rPr>
          <w:rFonts w:hint="eastAsia" w:cs="宋体"/>
          <w:spacing w:val="-1"/>
          <w:lang w:eastAsia="zh-CN"/>
        </w:rPr>
        <w:t xml:space="preserve">  </w:t>
      </w:r>
      <w:r>
        <w:rPr>
          <w:spacing w:val="-2"/>
          <w:lang w:eastAsia="zh-CN"/>
        </w:rPr>
        <w:t>大气污染物综合排放标准</w:t>
      </w:r>
    </w:p>
    <w:p>
      <w:pPr>
        <w:pStyle w:val="5"/>
        <w:tabs>
          <w:tab w:val="left" w:pos="1589"/>
        </w:tabs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GB 50187</w:t>
      </w:r>
      <w:r>
        <w:rPr>
          <w:rFonts w:hint="eastAsia" w:cs="宋体"/>
          <w:lang w:eastAsia="zh-CN"/>
        </w:rPr>
        <w:t xml:space="preserve">-2012  </w:t>
      </w:r>
      <w:r>
        <w:rPr>
          <w:rFonts w:cs="宋体"/>
          <w:lang w:eastAsia="zh-CN"/>
        </w:rPr>
        <w:t>工业企业总平面设计规范</w:t>
      </w:r>
    </w:p>
    <w:p>
      <w:pPr>
        <w:pStyle w:val="5"/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GB/T 13306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标牌</w:t>
      </w:r>
    </w:p>
    <w:p>
      <w:pPr>
        <w:pStyle w:val="5"/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GB/T 28001</w:t>
      </w:r>
      <w:r>
        <w:rPr>
          <w:rFonts w:hint="eastAsia" w:cs="宋体"/>
          <w:lang w:eastAsia="zh-CN"/>
        </w:rPr>
        <w:t xml:space="preserve"> </w:t>
      </w:r>
      <w:r>
        <w:rPr>
          <w:rFonts w:cs="宋体"/>
          <w:lang w:eastAsia="zh-CN"/>
        </w:rPr>
        <w:t xml:space="preserve"> 职业健康安全管理体系</w:t>
      </w:r>
    </w:p>
    <w:p>
      <w:pPr>
        <w:pStyle w:val="5"/>
        <w:spacing w:line="360" w:lineRule="auto"/>
        <w:ind w:left="0" w:firstLine="420" w:firstLineChars="200"/>
        <w:rPr>
          <w:lang w:eastAsia="zh-CN"/>
        </w:rPr>
      </w:pPr>
      <w:r>
        <w:rPr>
          <w:rFonts w:cs="宋体"/>
          <w:lang w:eastAsia="zh-CN"/>
        </w:rPr>
        <w:t>TD/T 1036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土地</w:t>
      </w:r>
      <w:r>
        <w:rPr>
          <w:spacing w:val="-2"/>
          <w:lang w:eastAsia="zh-CN"/>
        </w:rPr>
        <w:t>复垦质量控制标准</w:t>
      </w:r>
    </w:p>
    <w:p>
      <w:pPr>
        <w:pStyle w:val="2"/>
        <w:spacing w:before="260" w:after="260" w:line="400" w:lineRule="exact"/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31" w:name="_bookmark3"/>
      <w:bookmarkEnd w:id="31"/>
      <w:bookmarkStart w:id="32" w:name="_Toc70356267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3 </w:t>
      </w:r>
      <w:bookmarkStart w:id="33" w:name="_Toc527121677"/>
      <w:bookmarkStart w:id="34" w:name="_Toc508716701"/>
      <w:bookmarkStart w:id="35" w:name="_Toc527137436"/>
      <w:bookmarkStart w:id="36" w:name="_Toc535958971"/>
      <w:bookmarkStart w:id="37" w:name="_Toc510945096"/>
      <w:bookmarkStart w:id="38" w:name="_Toc525824512"/>
      <w:bookmarkStart w:id="39" w:name="_Toc535959158"/>
      <w:bookmarkStart w:id="40" w:name="_Toc535949593"/>
      <w:bookmarkStart w:id="41" w:name="_Toc508716554"/>
      <w:bookmarkStart w:id="42" w:name="_Toc510168916"/>
      <w:bookmarkStart w:id="43" w:name="_Toc508717062"/>
      <w:bookmarkStart w:id="44" w:name="_Toc509051901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术语和定义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下列术语和定义适用于本规程。</w:t>
      </w:r>
    </w:p>
    <w:p>
      <w:pPr>
        <w:spacing w:line="360" w:lineRule="auto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3.1 </w:t>
      </w:r>
    </w:p>
    <w:p>
      <w:pPr>
        <w:spacing w:line="360" w:lineRule="auto"/>
        <w:ind w:firstLine="420" w:firstLineChars="200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地热资源  geothermal resources</w:t>
      </w:r>
    </w:p>
    <w:p>
      <w:pPr>
        <w:spacing w:line="360" w:lineRule="auto"/>
        <w:ind w:firstLine="420" w:firstLineChars="200"/>
        <w:contextualSpacing/>
        <w:jc w:val="both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能够经济地被人类所利用的地球内部的地热能、地热流体及其有用组分。目前可利用的地热资源主要的包括：天然出露的温泉、通过人工钻井直接开采利用的地热流体，以及干热岩体中的地热资源。</w:t>
      </w:r>
    </w:p>
    <w:p>
      <w:pPr>
        <w:spacing w:line="360" w:lineRule="auto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3.2 </w:t>
      </w:r>
    </w:p>
    <w:p>
      <w:pPr>
        <w:spacing w:line="360" w:lineRule="auto"/>
        <w:ind w:firstLine="420" w:firstLineChars="200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饮用天然矿泉水资源</w:t>
      </w:r>
      <w:r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drinking natural mineral water resources</w:t>
      </w:r>
    </w:p>
    <w:p>
      <w:pPr>
        <w:spacing w:line="360" w:lineRule="auto"/>
        <w:ind w:firstLine="420" w:firstLineChars="200"/>
        <w:contextualSpacing/>
        <w:jc w:val="both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从地下水天然涌出的或经钻孔采集，含有一定量矿物盐类、微量元素或二氧化碳气体的适合饮用的天然矿泉水，其水温和水中所含化学成分相对稳定且对人体有益。</w:t>
      </w:r>
    </w:p>
    <w:p>
      <w:pPr>
        <w:spacing w:line="360" w:lineRule="auto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3.3 </w:t>
      </w:r>
    </w:p>
    <w:p>
      <w:pPr>
        <w:spacing w:line="360" w:lineRule="auto"/>
        <w:ind w:firstLine="420" w:firstLineChars="200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绿色矿山  green mine</w:t>
      </w:r>
    </w:p>
    <w:p>
      <w:pPr>
        <w:spacing w:line="360" w:lineRule="auto"/>
        <w:ind w:firstLine="420" w:firstLineChars="200"/>
        <w:contextualSpacing/>
        <w:jc w:val="both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在矿产资源开发全过程中，</w:t>
      </w:r>
      <w:r>
        <w:rPr>
          <w:rFonts w:ascii="Times New Roman" w:hAnsi="Times New Roman" w:cs="宋体"/>
          <w:sz w:val="21"/>
          <w:szCs w:val="21"/>
          <w:lang w:eastAsia="zh-CN"/>
        </w:rPr>
        <w:t>实施科学有序开采，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对矿区及周边生态环境影响控制在环境允许的范围内，</w:t>
      </w:r>
      <w:r>
        <w:rPr>
          <w:rFonts w:ascii="Times New Roman" w:hAnsi="Times New Roman" w:cs="宋体"/>
          <w:sz w:val="21"/>
          <w:szCs w:val="21"/>
          <w:lang w:eastAsia="zh-CN"/>
        </w:rPr>
        <w:t>实现矿区环境生态化、开采方式科学化、资源利用高效化、管理信息数字化和矿区社区和谐化的矿山。</w:t>
      </w:r>
    </w:p>
    <w:p>
      <w:pPr>
        <w:spacing w:line="360" w:lineRule="auto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3.4 </w:t>
      </w:r>
    </w:p>
    <w:p>
      <w:pPr>
        <w:spacing w:line="360" w:lineRule="auto"/>
        <w:ind w:firstLine="420" w:firstLineChars="200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矿区绿化覆盖率 </w:t>
      </w: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green coverage ratio of the mining area</w:t>
      </w:r>
    </w:p>
    <w:p>
      <w:pPr>
        <w:pStyle w:val="5"/>
        <w:spacing w:line="360" w:lineRule="auto"/>
        <w:ind w:left="0" w:firstLine="420" w:firstLineChars="200"/>
        <w:rPr>
          <w:rFonts w:ascii="Times New Roman" w:hAnsi="Times New Roman" w:cs="宋体" w:eastAsiaTheme="minorEastAsia"/>
          <w:lang w:eastAsia="zh-CN"/>
        </w:rPr>
      </w:pPr>
      <w:r>
        <w:rPr>
          <w:rFonts w:hint="eastAsia" w:ascii="Times New Roman" w:hAnsi="Times New Roman" w:cs="宋体" w:eastAsiaTheme="minorEastAsia"/>
          <w:lang w:eastAsia="zh-CN"/>
        </w:rPr>
        <w:t>矿区土地绿化面积占矿区工业场地、办公生活区、矿区专用道路两侧绿化带等厂界内可绿化面积的百分比。</w:t>
      </w:r>
    </w:p>
    <w:p>
      <w:pPr>
        <w:spacing w:line="360" w:lineRule="auto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3.5 </w:t>
      </w:r>
    </w:p>
    <w:p>
      <w:pPr>
        <w:spacing w:line="360" w:lineRule="auto"/>
        <w:ind w:firstLine="420" w:firstLineChars="200"/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研发及技改投入</w:t>
      </w:r>
      <w:r>
        <w:rPr>
          <w:rFonts w:hint="eastAsia" w:ascii="黑体" w:hAnsi="黑体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input of research and development and technical innovation</w:t>
      </w:r>
    </w:p>
    <w:p>
      <w:pPr>
        <w:pStyle w:val="5"/>
        <w:spacing w:line="360" w:lineRule="auto"/>
        <w:ind w:left="0" w:firstLine="420" w:firstLineChars="200"/>
        <w:rPr>
          <w:rFonts w:ascii="Times New Roman" w:hAnsi="Times New Roman"/>
          <w:spacing w:val="-2"/>
          <w:lang w:eastAsia="zh-CN"/>
        </w:rPr>
      </w:pPr>
      <w:r>
        <w:rPr>
          <w:rFonts w:ascii="Times New Roman" w:hAnsi="Times New Roman" w:cs="宋体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企业开展研发和技改活动的</w:t>
      </w:r>
      <w:r>
        <w:rPr>
          <w:rFonts w:ascii="Times New Roman" w:hAnsi="Times New Roman"/>
          <w:lang w:eastAsia="zh-CN"/>
        </w:rPr>
        <w:t>资</w:t>
      </w:r>
      <w:r>
        <w:rPr>
          <w:rFonts w:ascii="Times New Roman" w:hAnsi="Times New Roman"/>
          <w:spacing w:val="-3"/>
          <w:lang w:eastAsia="zh-CN"/>
        </w:rPr>
        <w:t>金</w:t>
      </w:r>
      <w:r>
        <w:rPr>
          <w:rFonts w:ascii="Times New Roman" w:hAnsi="Times New Roman"/>
          <w:lang w:eastAsia="zh-CN"/>
        </w:rPr>
        <w:t>投</w:t>
      </w:r>
      <w:r>
        <w:rPr>
          <w:rFonts w:ascii="Times New Roman" w:hAnsi="Times New Roman"/>
          <w:spacing w:val="-3"/>
          <w:lang w:eastAsia="zh-CN"/>
        </w:rPr>
        <w:t>入</w:t>
      </w:r>
      <w:r>
        <w:rPr>
          <w:rFonts w:ascii="Times New Roman" w:hAnsi="Times New Roman"/>
          <w:spacing w:val="-25"/>
          <w:lang w:eastAsia="zh-CN"/>
        </w:rPr>
        <w:t>。</w:t>
      </w:r>
      <w:r>
        <w:rPr>
          <w:rFonts w:ascii="Times New Roman" w:hAnsi="Times New Roman"/>
          <w:spacing w:val="-3"/>
          <w:lang w:eastAsia="zh-CN"/>
        </w:rPr>
        <w:t>研</w:t>
      </w:r>
      <w:r>
        <w:rPr>
          <w:rFonts w:ascii="Times New Roman" w:hAnsi="Times New Roman"/>
          <w:lang w:eastAsia="zh-CN"/>
        </w:rPr>
        <w:t>发</w:t>
      </w:r>
      <w:r>
        <w:rPr>
          <w:rFonts w:ascii="Times New Roman" w:hAnsi="Times New Roman"/>
          <w:spacing w:val="-3"/>
          <w:lang w:eastAsia="zh-CN"/>
        </w:rPr>
        <w:t>和</w:t>
      </w:r>
      <w:r>
        <w:rPr>
          <w:rFonts w:ascii="Times New Roman" w:hAnsi="Times New Roman"/>
          <w:lang w:eastAsia="zh-CN"/>
        </w:rPr>
        <w:t>技</w:t>
      </w:r>
      <w:r>
        <w:rPr>
          <w:rFonts w:ascii="Times New Roman" w:hAnsi="Times New Roman"/>
          <w:spacing w:val="-3"/>
          <w:lang w:eastAsia="zh-CN"/>
        </w:rPr>
        <w:t>改</w:t>
      </w:r>
      <w:r>
        <w:rPr>
          <w:rFonts w:ascii="Times New Roman" w:hAnsi="Times New Roman"/>
          <w:lang w:eastAsia="zh-CN"/>
        </w:rPr>
        <w:t>活动</w:t>
      </w:r>
      <w:r>
        <w:rPr>
          <w:rFonts w:ascii="Times New Roman" w:hAnsi="Times New Roman"/>
          <w:spacing w:val="-3"/>
          <w:lang w:eastAsia="zh-CN"/>
        </w:rPr>
        <w:t>包</w:t>
      </w:r>
      <w:r>
        <w:rPr>
          <w:rFonts w:ascii="Times New Roman" w:hAnsi="Times New Roman"/>
          <w:lang w:eastAsia="zh-CN"/>
        </w:rPr>
        <w:t>括</w:t>
      </w:r>
      <w:r>
        <w:rPr>
          <w:rFonts w:ascii="Times New Roman" w:hAnsi="Times New Roman"/>
          <w:spacing w:val="-3"/>
          <w:lang w:eastAsia="zh-CN"/>
        </w:rPr>
        <w:t>科</w:t>
      </w:r>
      <w:r>
        <w:rPr>
          <w:rFonts w:ascii="Times New Roman" w:hAnsi="Times New Roman"/>
          <w:lang w:eastAsia="zh-CN"/>
        </w:rPr>
        <w:t>研</w:t>
      </w:r>
      <w:r>
        <w:rPr>
          <w:rFonts w:ascii="Times New Roman" w:hAnsi="Times New Roman"/>
          <w:spacing w:val="-3"/>
          <w:lang w:eastAsia="zh-CN"/>
        </w:rPr>
        <w:t>开</w:t>
      </w:r>
      <w:r>
        <w:rPr>
          <w:rFonts w:ascii="Times New Roman" w:hAnsi="Times New Roman"/>
          <w:lang w:eastAsia="zh-CN"/>
        </w:rPr>
        <w:t>发</w:t>
      </w:r>
      <w:r>
        <w:rPr>
          <w:rFonts w:ascii="Times New Roman" w:hAnsi="Times New Roman"/>
          <w:spacing w:val="-27"/>
          <w:lang w:eastAsia="zh-CN"/>
        </w:rPr>
        <w:t>、</w:t>
      </w:r>
      <w:r>
        <w:rPr>
          <w:rFonts w:ascii="Times New Roman" w:hAnsi="Times New Roman"/>
          <w:lang w:eastAsia="zh-CN"/>
        </w:rPr>
        <w:t>技</w:t>
      </w:r>
      <w:r>
        <w:rPr>
          <w:rFonts w:ascii="Times New Roman" w:hAnsi="Times New Roman"/>
          <w:spacing w:val="-3"/>
          <w:lang w:eastAsia="zh-CN"/>
        </w:rPr>
        <w:t>术</w:t>
      </w:r>
      <w:r>
        <w:rPr>
          <w:rFonts w:ascii="Times New Roman" w:hAnsi="Times New Roman"/>
          <w:lang w:eastAsia="zh-CN"/>
        </w:rPr>
        <w:t>引进</w:t>
      </w:r>
      <w:r>
        <w:rPr>
          <w:rFonts w:ascii="Times New Roman" w:hAnsi="Times New Roman"/>
          <w:spacing w:val="-27"/>
          <w:lang w:eastAsia="zh-CN"/>
        </w:rPr>
        <w:t>，</w:t>
      </w:r>
      <w:r>
        <w:rPr>
          <w:rFonts w:ascii="Times New Roman" w:hAnsi="Times New Roman"/>
          <w:lang w:eastAsia="zh-CN"/>
        </w:rPr>
        <w:t>技</w:t>
      </w:r>
      <w:r>
        <w:rPr>
          <w:rFonts w:ascii="Times New Roman" w:hAnsi="Times New Roman"/>
          <w:spacing w:val="-3"/>
          <w:lang w:eastAsia="zh-CN"/>
        </w:rPr>
        <w:t>术</w:t>
      </w:r>
      <w:r>
        <w:rPr>
          <w:rFonts w:ascii="Times New Roman" w:hAnsi="Times New Roman"/>
          <w:lang w:eastAsia="zh-CN"/>
        </w:rPr>
        <w:t>创</w:t>
      </w:r>
      <w:r>
        <w:rPr>
          <w:rFonts w:ascii="Times New Roman" w:hAnsi="Times New Roman"/>
          <w:spacing w:val="-3"/>
          <w:lang w:eastAsia="zh-CN"/>
        </w:rPr>
        <w:t>新</w:t>
      </w:r>
      <w:r>
        <w:rPr>
          <w:rFonts w:ascii="Times New Roman" w:hAnsi="Times New Roman"/>
          <w:spacing w:val="-27"/>
          <w:lang w:eastAsia="zh-CN"/>
        </w:rPr>
        <w:t>、</w:t>
      </w:r>
      <w:r>
        <w:rPr>
          <w:rFonts w:ascii="Times New Roman" w:hAnsi="Times New Roman"/>
          <w:spacing w:val="-3"/>
          <w:lang w:eastAsia="zh-CN"/>
        </w:rPr>
        <w:t>改造</w:t>
      </w:r>
      <w:r>
        <w:rPr>
          <w:rFonts w:ascii="Times New Roman" w:hAnsi="Times New Roman"/>
          <w:spacing w:val="-2"/>
          <w:lang w:eastAsia="zh-CN"/>
        </w:rPr>
        <w:t>和推广，设备更新，以及科技培训教育、信息交流、科技协作等。</w:t>
      </w:r>
      <w:bookmarkStart w:id="45" w:name="_bookmark4"/>
      <w:bookmarkEnd w:id="45"/>
      <w:r>
        <w:rPr>
          <w:rFonts w:hint="eastAsia" w:ascii="Times New Roman" w:hAnsi="Times New Roman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反映企业科技进步水平和对科技创新的重视程度。</w:t>
      </w:r>
    </w:p>
    <w:p>
      <w:pPr>
        <w:pStyle w:val="2"/>
        <w:spacing w:before="260" w:after="260" w:line="400" w:lineRule="exact"/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46" w:name="_Toc508716555"/>
      <w:bookmarkStart w:id="47" w:name="_Toc508717063"/>
      <w:bookmarkStart w:id="48" w:name="_Toc527121678"/>
      <w:bookmarkStart w:id="49" w:name="_Toc535959159"/>
      <w:bookmarkStart w:id="50" w:name="_Toc535958972"/>
      <w:bookmarkStart w:id="51" w:name="_Toc525824513"/>
      <w:bookmarkStart w:id="52" w:name="_Toc527137437"/>
      <w:bookmarkStart w:id="53" w:name="_Toc510168917"/>
      <w:bookmarkStart w:id="54" w:name="_Toc535949594"/>
      <w:bookmarkStart w:id="55" w:name="_Toc70356268"/>
      <w:bookmarkStart w:id="56" w:name="_Toc509051902"/>
      <w:bookmarkStart w:id="57" w:name="_Toc508716702"/>
      <w:bookmarkStart w:id="58" w:name="_Toc510945097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4 总则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>
      <w:pPr>
        <w:spacing w:line="360" w:lineRule="auto"/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eastAsia"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遵守国家法律法规和相关产业政策，依法办矿</w:t>
      </w:r>
      <w:r>
        <w:rPr>
          <w:rFonts w:hint="eastAsia"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，证照齐全</w:t>
      </w:r>
      <w:r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4.2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贯彻创新、协调、绿色、开放、共享的发展理念。遵循因矿制宜的原则，实现矿产资源开发全过程的资源利用、节能减排、环境保护、土地复垦、企业文化和企地和谐等统筹兼顾和全面发展。 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4.3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执行安全生产评价、环境影响评价和安全、环保“三同时”制度，认真落实各项污染防治措施。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4.4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以人为本，保护职工身体健康，预防、控制和消除职业危害。</w:t>
      </w:r>
    </w:p>
    <w:p>
      <w:pPr>
        <w:pStyle w:val="5"/>
        <w:tabs>
          <w:tab w:val="left" w:pos="646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4.5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新建、改扩建矿山应根据本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规程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建设；生产矿山应根据本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规程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进行升级改造。绿色矿山建设应贯穿设计、建设、生产和闭坑全过程。</w:t>
      </w:r>
    </w:p>
    <w:p>
      <w:pPr>
        <w:pStyle w:val="2"/>
        <w:spacing w:before="260" w:after="260" w:line="400" w:lineRule="exact"/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59" w:name="_Toc70356269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5 规范管理</w:t>
      </w:r>
      <w:bookmarkEnd w:id="59"/>
    </w:p>
    <w:p>
      <w:pPr>
        <w:pStyle w:val="5"/>
        <w:tabs>
          <w:tab w:val="left" w:pos="646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5.1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具有绿色矿山建设的内设机构，专人负责，责任到人，并形成制度性文件。</w:t>
      </w:r>
    </w:p>
    <w:p>
      <w:pPr>
        <w:pStyle w:val="5"/>
        <w:tabs>
          <w:tab w:val="left" w:pos="646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  矿产资源开发利用管理、环境保护、土地复垦、生态修复、安全生产等规章制度和措施健全。</w:t>
      </w:r>
    </w:p>
    <w:p>
      <w:pPr>
        <w:pStyle w:val="5"/>
        <w:tabs>
          <w:tab w:val="left" w:pos="646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  严格按矿产资源开发利用方案或开采设计进行开采，建立严格的水位、水量、水温、水质动态监测制度，掌握年度变化特征和多年变化趋势。</w:t>
      </w:r>
    </w:p>
    <w:p>
      <w:pPr>
        <w:pStyle w:val="5"/>
        <w:tabs>
          <w:tab w:val="left" w:pos="646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  实施矿山开采储量动态管理，矿山开采原始记录规范，准确、及时填报矿产资源开发利用统计年报等有关报表，资源储量台账、档案资料齐全。</w:t>
      </w:r>
    </w:p>
    <w:p>
      <w:pPr>
        <w:pStyle w:val="5"/>
        <w:tabs>
          <w:tab w:val="left" w:pos="646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  重视质量、环境、职业健康、安全管理体系认证，实现矿山管理的科学化、制度化、规范化和信息化，管理体系运行有效。</w:t>
      </w:r>
    </w:p>
    <w:p>
      <w:pPr>
        <w:pStyle w:val="5"/>
        <w:tabs>
          <w:tab w:val="left" w:pos="646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5.6  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职工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培训体系健全，有相应的培训计划和培训记录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，各岗位、工种人员的培训时间符合相关规定要求。</w:t>
      </w:r>
    </w:p>
    <w:p>
      <w:pPr>
        <w:pStyle w:val="2"/>
        <w:spacing w:before="260" w:after="260" w:line="400" w:lineRule="exact"/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60" w:name="_bookmark7"/>
      <w:bookmarkEnd w:id="60"/>
      <w:bookmarkStart w:id="61" w:name="_Toc70356270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6 矿区环境</w:t>
      </w:r>
      <w:bookmarkEnd w:id="61"/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矿区开发规划和功能区布局合理，生产、生活、管理等各类功能区有独立完整的管理制度，运行有序、管理规范。</w:t>
      </w:r>
    </w:p>
    <w:p>
      <w:pPr>
        <w:pStyle w:val="5"/>
        <w:spacing w:line="360" w:lineRule="auto"/>
        <w:ind w:left="0"/>
        <w:jc w:val="both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.2 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矿区地面道路、供水、供电、卫生、环保等配套设施齐全；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采矿权标识、地热矿泉水开采井操作标识、管道线路标示等标识标牌齐全、规范和统一，标牌符合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GB/T 13306的规定；在需警示安全的区域应设置安全标志，安全标志符合GB14161-</w:t>
      </w: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2008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的规定。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6.3  </w:t>
      </w:r>
      <w:r>
        <w:rPr>
          <w:rFonts w:cs="宋体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矿区绿化与周边自然环境和景观相协调，绿化植物搭配合理，矿区绿化覆盖率达到矿区范围内可绿化面积的100%。</w:t>
      </w:r>
    </w:p>
    <w:p>
      <w:pPr>
        <w:pStyle w:val="2"/>
        <w:spacing w:before="260" w:after="260" w:line="400" w:lineRule="exact"/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62" w:name="_bookmark5"/>
      <w:bookmarkEnd w:id="62"/>
      <w:bookmarkStart w:id="63" w:name="_bookmark9"/>
      <w:bookmarkEnd w:id="63"/>
      <w:bookmarkStart w:id="64" w:name="_Toc70356271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7 资源开发和综合利用</w:t>
      </w:r>
      <w:bookmarkEnd w:id="64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65" w:name="_bookmark15"/>
      <w:bookmarkEnd w:id="65"/>
      <w:bookmarkStart w:id="66" w:name="_Toc70356272"/>
      <w:r>
        <w:rPr>
          <w:rFonts w:hint="eastAsia" w:ascii="黑体" w:hAnsi="黑体" w:eastAsia="黑体" w:cs="宋体"/>
          <w:lang w:eastAsia="zh-CN"/>
        </w:rPr>
        <w:t>7</w:t>
      </w:r>
      <w:r>
        <w:rPr>
          <w:rFonts w:ascii="黑体" w:hAnsi="黑体" w:eastAsia="黑体" w:cs="宋体"/>
          <w:lang w:eastAsia="zh-CN"/>
        </w:rPr>
        <w:t>.1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基本要求</w:t>
      </w:r>
      <w:bookmarkEnd w:id="66"/>
    </w:p>
    <w:p>
      <w:pPr>
        <w:tabs>
          <w:tab w:val="left" w:pos="-4962"/>
        </w:tabs>
        <w:spacing w:line="360" w:lineRule="auto"/>
        <w:contextualSpacing/>
        <w:jc w:val="both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7.1.1  矿山开发生产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严格遵守《中华人民共和国矿山安全法》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，矿山运行满足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行业相关安全规范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的要求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。</w:t>
      </w:r>
    </w:p>
    <w:p>
      <w:pPr>
        <w:tabs>
          <w:tab w:val="left" w:pos="-4962"/>
        </w:tabs>
        <w:spacing w:line="360" w:lineRule="auto"/>
        <w:contextualSpacing/>
        <w:jc w:val="both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7.1.2  执行《矿产资源开发利用与保护方案》的规划和设计，完成资源开发和综合利用各项指标，技术经济水平居省内地热矿泉水矿山的先进行列。</w:t>
      </w:r>
    </w:p>
    <w:p>
      <w:pPr>
        <w:tabs>
          <w:tab w:val="left" w:pos="-4962"/>
        </w:tabs>
        <w:spacing w:line="360" w:lineRule="auto"/>
        <w:contextualSpacing/>
        <w:jc w:val="both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7.1.3  地热矿泉水的开发利用应选择资源集约型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、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环境友好型开发利用方式，符合经评审通过的开发设计方案的要求。</w:t>
      </w:r>
    </w:p>
    <w:p>
      <w:pPr>
        <w:tabs>
          <w:tab w:val="left" w:pos="-4962"/>
        </w:tabs>
        <w:spacing w:line="360" w:lineRule="auto"/>
        <w:contextualSpacing/>
        <w:jc w:val="both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7.1.4  总体布局要因矿制宜。选择无毒无害无污染、耐热、保温、抗压、防漏、拒腐蚀、与生产能力相匹配的电泵和输送管材等技术装备，以及开采与输送联动的工艺流程，符合清洁生产的要求。</w:t>
      </w:r>
    </w:p>
    <w:p>
      <w:pPr>
        <w:spacing w:line="360" w:lineRule="auto"/>
        <w:contextualSpacing/>
        <w:jc w:val="both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7.1.5  开采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工艺和设施设备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采用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国家产业结构调整指导目录中的鼓励类。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67" w:name="_bookmark16"/>
      <w:bookmarkEnd w:id="67"/>
      <w:bookmarkStart w:id="68" w:name="_bookmark17"/>
      <w:bookmarkEnd w:id="68"/>
      <w:bookmarkStart w:id="69" w:name="_Toc70356273"/>
      <w:r>
        <w:rPr>
          <w:rFonts w:hint="eastAsia" w:ascii="黑体" w:hAnsi="黑体" w:eastAsia="黑体" w:cs="宋体"/>
          <w:lang w:eastAsia="zh-CN"/>
        </w:rPr>
        <w:t>7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2 </w:t>
      </w:r>
      <w:r>
        <w:rPr>
          <w:rFonts w:ascii="黑体" w:hAnsi="黑体" w:eastAsia="黑体" w:cs="宋体"/>
          <w:lang w:eastAsia="zh-CN"/>
        </w:rPr>
        <w:t>合理开发</w:t>
      </w:r>
      <w:bookmarkEnd w:id="69"/>
    </w:p>
    <w:p>
      <w:pPr>
        <w:spacing w:line="360" w:lineRule="auto"/>
        <w:contextualSpacing/>
        <w:jc w:val="both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7.2.1  根据地热矿泉水水源地的成矿地质特征，采用环境友好型就近集约开采、按需供给的资源开采方式。</w:t>
      </w:r>
    </w:p>
    <w:p>
      <w:pPr>
        <w:autoSpaceDE w:val="0"/>
        <w:autoSpaceDN w:val="0"/>
        <w:adjustRightInd w:val="0"/>
        <w:spacing w:line="360" w:lineRule="auto"/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2.2  矿泉水勘查评价、水质测试与评价、水源地保护、动态监测及其资源/储量计算与评价，按GB/T13727-2016中的相应条款执行。</w:t>
      </w:r>
    </w:p>
    <w:p>
      <w:pPr>
        <w:autoSpaceDE w:val="0"/>
        <w:autoSpaceDN w:val="0"/>
        <w:adjustRightInd w:val="0"/>
        <w:spacing w:line="360" w:lineRule="auto"/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2.3  地热勘查评价、水质测试与评价、水源地保护、动态监测及其资源/储量计算与评价，按GB/T11615-2010中的相应条款执行。</w:t>
      </w:r>
    </w:p>
    <w:p>
      <w:pPr>
        <w:autoSpaceDE w:val="0"/>
        <w:autoSpaceDN w:val="0"/>
        <w:adjustRightInd w:val="0"/>
        <w:spacing w:line="360" w:lineRule="auto"/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7.2.5  矿泉水开采鼓励采用高效、节能、无毒、无害、无污染、拒腐蚀、低噪音的井下深井电泵抽采,全封闭管道输入厂房加工及产品标志、包装联动的生产装备和工艺流程,确保产品质优、降本、无污染。生产装备的机械化率和自动(智能)化率应大于95%。</w:t>
      </w:r>
    </w:p>
    <w:p>
      <w:pPr>
        <w:spacing w:line="360" w:lineRule="auto"/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2.6  </w:t>
      </w:r>
      <w:r>
        <w:rPr>
          <w:rFonts w:eastAsia="宋体" w:cs="宋体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定期对抽水等设备及运行进行安全检查，并形成记录；定期对地热矿泉水输水管道和过滤等设备进行检查、清洗和更换，并形成记录。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70" w:name="_bookmark18"/>
      <w:bookmarkEnd w:id="70"/>
      <w:bookmarkStart w:id="71" w:name="_Toc70356274"/>
      <w:r>
        <w:rPr>
          <w:rFonts w:hint="eastAsia" w:ascii="黑体" w:hAnsi="黑体" w:eastAsia="黑体" w:cs="宋体"/>
          <w:lang w:eastAsia="zh-CN"/>
        </w:rPr>
        <w:t>7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3 </w:t>
      </w:r>
      <w:r>
        <w:rPr>
          <w:rFonts w:ascii="黑体" w:hAnsi="黑体" w:eastAsia="黑体" w:cs="宋体"/>
          <w:lang w:eastAsia="zh-CN"/>
        </w:rPr>
        <w:t>综合利用</w:t>
      </w:r>
      <w:bookmarkEnd w:id="71"/>
    </w:p>
    <w:p>
      <w:pPr>
        <w:pStyle w:val="5"/>
        <w:tabs>
          <w:tab w:val="left" w:pos="1170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7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3</w:t>
      </w:r>
      <w:r>
        <w:rPr>
          <w:rFonts w:cs="宋体" w:asciiTheme="minorEastAsia" w:hAnsiTheme="minorEastAsia"/>
          <w:lang w:eastAsia="zh-CN"/>
        </w:rPr>
        <w:t>.1</w:t>
      </w:r>
      <w:r>
        <w:rPr>
          <w:rFonts w:hint="eastAsia" w:cs="宋体" w:asciiTheme="minorEastAsia" w:hAnsiTheme="minorEastAsia"/>
          <w:lang w:eastAsia="zh-CN"/>
        </w:rPr>
        <w:t xml:space="preserve">  </w:t>
      </w:r>
      <w:r>
        <w:rPr>
          <w:rFonts w:cs="宋体" w:asciiTheme="minorEastAsia" w:hAnsiTheme="minorEastAsia"/>
          <w:lang w:eastAsia="zh-CN"/>
        </w:rPr>
        <w:t>重视技改投入，设施设备、生产工艺流程和技术先进，经济、社会与环境效益显著，达到省内同类矿山的先进水平。</w:t>
      </w:r>
    </w:p>
    <w:p>
      <w:pPr>
        <w:pStyle w:val="5"/>
        <w:tabs>
          <w:tab w:val="left" w:pos="1170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7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3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 xml:space="preserve">2  </w:t>
      </w:r>
      <w:r>
        <w:rPr>
          <w:rFonts w:cs="宋体" w:asciiTheme="minorEastAsia" w:hAnsiTheme="minorEastAsia"/>
          <w:lang w:eastAsia="zh-CN"/>
        </w:rPr>
        <w:t>地热资源做到资源梯级利用及综合利用，提高资源利用率。</w:t>
      </w:r>
    </w:p>
    <w:p>
      <w:pPr>
        <w:pStyle w:val="5"/>
        <w:tabs>
          <w:tab w:val="left" w:pos="1170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7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3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 xml:space="preserve">3  </w:t>
      </w:r>
      <w:r>
        <w:rPr>
          <w:rFonts w:cs="宋体" w:asciiTheme="minorEastAsia" w:hAnsiTheme="minorEastAsia"/>
          <w:lang w:eastAsia="zh-CN"/>
        </w:rPr>
        <w:t>地热尾水排放温度小于</w:t>
      </w:r>
      <w:r>
        <w:rPr>
          <w:rFonts w:hint="eastAsia" w:cs="宋体" w:asciiTheme="minorEastAsia" w:hAnsiTheme="minorEastAsia"/>
          <w:lang w:eastAsia="zh-CN"/>
        </w:rPr>
        <w:t>3</w:t>
      </w:r>
      <w:r>
        <w:rPr>
          <w:rFonts w:cs="宋体" w:asciiTheme="minorEastAsia" w:hAnsiTheme="minorEastAsia"/>
          <w:lang w:eastAsia="zh-CN"/>
        </w:rPr>
        <w:t>5℃，矿泉水资源利用率</w:t>
      </w:r>
      <w:r>
        <w:rPr>
          <w:rFonts w:hint="eastAsia" w:cs="宋体" w:asciiTheme="minorEastAsia" w:hAnsiTheme="minorEastAsia"/>
          <w:lang w:eastAsia="zh-CN"/>
        </w:rPr>
        <w:t>达到</w:t>
      </w:r>
      <w:r>
        <w:rPr>
          <w:rFonts w:cs="宋体" w:asciiTheme="minorEastAsia" w:hAnsiTheme="minorEastAsia"/>
          <w:lang w:eastAsia="zh-CN"/>
        </w:rPr>
        <w:t>95%</w:t>
      </w:r>
      <w:r>
        <w:rPr>
          <w:rFonts w:hint="eastAsia" w:cs="宋体" w:asciiTheme="minorEastAsia" w:hAnsiTheme="minorEastAsia"/>
          <w:lang w:eastAsia="zh-CN"/>
        </w:rPr>
        <w:t>及以上</w:t>
      </w:r>
      <w:r>
        <w:rPr>
          <w:rFonts w:cs="宋体" w:asciiTheme="minorEastAsia" w:hAnsiTheme="minorEastAsia"/>
          <w:lang w:eastAsia="zh-CN"/>
        </w:rPr>
        <w:t>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72" w:name="_Toc70356275"/>
      <w:r>
        <w:rPr>
          <w:rFonts w:hint="eastAsia" w:ascii="黑体" w:hAnsi="黑体" w:eastAsia="黑体" w:cs="宋体"/>
          <w:lang w:eastAsia="zh-CN"/>
        </w:rPr>
        <w:t>7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4 </w:t>
      </w:r>
      <w:r>
        <w:rPr>
          <w:rFonts w:ascii="黑体" w:hAnsi="黑体" w:eastAsia="黑体" w:cs="宋体"/>
          <w:lang w:eastAsia="zh-CN"/>
        </w:rPr>
        <w:t>节能降耗</w:t>
      </w:r>
      <w:bookmarkEnd w:id="72"/>
    </w:p>
    <w:p>
      <w:pPr>
        <w:pStyle w:val="5"/>
        <w:tabs>
          <w:tab w:val="left" w:pos="1170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7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4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 xml:space="preserve">1  </w:t>
      </w:r>
      <w:r>
        <w:rPr>
          <w:rFonts w:cs="宋体" w:asciiTheme="minorEastAsia" w:hAnsiTheme="minorEastAsia"/>
          <w:lang w:eastAsia="zh-CN"/>
        </w:rPr>
        <w:t>建立生产全过程能耗核算体系，控制并减少单位产品能耗、物耗和水耗。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7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4</w:t>
      </w:r>
      <w:r>
        <w:rPr>
          <w:rFonts w:cs="宋体" w:asciiTheme="minorEastAsia" w:hAnsiTheme="minorEastAsia"/>
          <w:lang w:eastAsia="zh-CN"/>
        </w:rPr>
        <w:t>.2</w:t>
      </w:r>
      <w:r>
        <w:rPr>
          <w:rFonts w:hint="eastAsia" w:cs="宋体" w:asciiTheme="minorEastAsia" w:hAnsiTheme="minorEastAsia"/>
          <w:lang w:eastAsia="zh-CN"/>
        </w:rPr>
        <w:t xml:space="preserve">  </w:t>
      </w:r>
      <w:r>
        <w:rPr>
          <w:rFonts w:cs="宋体" w:asciiTheme="minorEastAsia" w:hAnsiTheme="minorEastAsia"/>
          <w:lang w:eastAsia="zh-CN"/>
        </w:rPr>
        <w:t>开发利用高效节能的新技术、新工艺、新设备和新材料，及时淘汰高能耗、低效率的工艺和设备。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73" w:name="_Toc70356276"/>
      <w:r>
        <w:rPr>
          <w:rFonts w:hint="eastAsia" w:cs="宋体"/>
          <w:sz w:val="21"/>
          <w:szCs w:val="21"/>
          <w:lang w:eastAsia="zh-CN"/>
        </w:rPr>
        <w:t>8 环境保护</w:t>
      </w:r>
      <w:bookmarkEnd w:id="73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74" w:name="_bookmark10"/>
      <w:bookmarkEnd w:id="74"/>
      <w:bookmarkStart w:id="75" w:name="_Toc70356277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.1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基本要求</w:t>
      </w:r>
      <w:bookmarkEnd w:id="75"/>
    </w:p>
    <w:p>
      <w:pPr>
        <w:pStyle w:val="5"/>
        <w:tabs>
          <w:tab w:val="left" w:pos="855"/>
        </w:tabs>
        <w:spacing w:line="360" w:lineRule="auto"/>
        <w:ind w:left="0"/>
        <w:rPr>
          <w:spacing w:val="-2"/>
          <w:lang w:eastAsia="zh-CN"/>
        </w:rPr>
      </w:pPr>
      <w:r>
        <w:rPr>
          <w:rFonts w:hint="eastAsia" w:cs="黑体"/>
          <w:lang w:eastAsia="zh-CN"/>
        </w:rPr>
        <w:t>8</w:t>
      </w:r>
      <w:r>
        <w:rPr>
          <w:rFonts w:cs="黑体"/>
          <w:lang w:eastAsia="zh-CN"/>
        </w:rPr>
        <w:t>.1.</w:t>
      </w:r>
      <w:r>
        <w:rPr>
          <w:rFonts w:hint="eastAsia" w:cs="黑体"/>
          <w:lang w:eastAsia="zh-CN"/>
        </w:rPr>
        <w:t xml:space="preserve">1  </w:t>
      </w:r>
      <w:r>
        <w:rPr>
          <w:spacing w:val="-2"/>
          <w:lang w:eastAsia="zh-CN"/>
        </w:rPr>
        <w:t>根据矿区资源赋存状况、生态环境特征等条件，因地制宜选择开采工艺，最大限度减少对自然环境的扰动和破坏。</w:t>
      </w:r>
    </w:p>
    <w:p>
      <w:pPr>
        <w:pStyle w:val="5"/>
        <w:tabs>
          <w:tab w:val="left" w:pos="855"/>
        </w:tabs>
        <w:spacing w:line="360" w:lineRule="auto"/>
        <w:ind w:left="0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8</w:t>
      </w:r>
      <w:r>
        <w:rPr>
          <w:spacing w:val="-2"/>
          <w:lang w:eastAsia="zh-CN"/>
        </w:rPr>
        <w:t>.1.</w:t>
      </w:r>
      <w:r>
        <w:rPr>
          <w:rFonts w:hint="eastAsia"/>
          <w:spacing w:val="-2"/>
          <w:lang w:eastAsia="zh-CN"/>
        </w:rPr>
        <w:t xml:space="preserve">2  </w:t>
      </w:r>
      <w:r>
        <w:rPr>
          <w:spacing w:val="-2"/>
          <w:lang w:eastAsia="zh-CN"/>
        </w:rPr>
        <w:t>水源地保护范围标识清晰，防护措施得当。</w:t>
      </w:r>
    </w:p>
    <w:p>
      <w:pPr>
        <w:pStyle w:val="5"/>
        <w:spacing w:line="360" w:lineRule="auto"/>
        <w:ind w:left="0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8</w:t>
      </w:r>
      <w:r>
        <w:rPr>
          <w:spacing w:val="-2"/>
          <w:lang w:eastAsia="zh-CN"/>
        </w:rPr>
        <w:t>.1.</w:t>
      </w:r>
      <w:r>
        <w:rPr>
          <w:rFonts w:hint="eastAsia"/>
          <w:spacing w:val="-2"/>
          <w:lang w:eastAsia="zh-CN"/>
        </w:rPr>
        <w:t xml:space="preserve">3  </w:t>
      </w:r>
      <w:r>
        <w:rPr>
          <w:spacing w:val="-2"/>
          <w:lang w:eastAsia="zh-CN"/>
        </w:rPr>
        <w:t>应贯彻“边开采、边恢复”的原则，及时治理恢复矿山地质环境，复垦矿山占用土地和损毁土地。治理率和复垦率达到“矿山地质环境治理恢复方案与土地复垦方案”的要求。</w:t>
      </w:r>
    </w:p>
    <w:p>
      <w:pPr>
        <w:pStyle w:val="5"/>
        <w:tabs>
          <w:tab w:val="left" w:pos="855"/>
        </w:tabs>
        <w:spacing w:line="360" w:lineRule="auto"/>
        <w:ind w:left="0"/>
        <w:rPr>
          <w:spacing w:val="-2"/>
          <w:lang w:eastAsia="zh-CN"/>
        </w:rPr>
      </w:pPr>
      <w:r>
        <w:rPr>
          <w:rFonts w:hint="eastAsia" w:cs="黑体"/>
          <w:lang w:eastAsia="zh-CN"/>
        </w:rPr>
        <w:t>8</w:t>
      </w:r>
      <w:r>
        <w:rPr>
          <w:rFonts w:cs="黑体"/>
          <w:lang w:eastAsia="zh-CN"/>
        </w:rPr>
        <w:t>.1.</w:t>
      </w:r>
      <w:r>
        <w:rPr>
          <w:rFonts w:hint="eastAsia" w:cs="黑体"/>
          <w:lang w:eastAsia="zh-CN"/>
        </w:rPr>
        <w:t xml:space="preserve">4  </w:t>
      </w:r>
      <w:r>
        <w:rPr>
          <w:spacing w:val="-2"/>
          <w:lang w:eastAsia="zh-CN"/>
        </w:rPr>
        <w:t>矿山开采过程中不得污染矿区周围环境、水体、地表径流等，应对环境进行保护。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76" w:name="_bookmark11"/>
      <w:bookmarkEnd w:id="76"/>
      <w:bookmarkStart w:id="77" w:name="_Toc70356278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.2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废气和噪声排放控制</w:t>
      </w:r>
      <w:bookmarkEnd w:id="77"/>
    </w:p>
    <w:p>
      <w:pPr>
        <w:pStyle w:val="5"/>
        <w:tabs>
          <w:tab w:val="left" w:pos="644"/>
        </w:tabs>
        <w:spacing w:line="360" w:lineRule="auto"/>
        <w:ind w:left="0"/>
        <w:rPr>
          <w:rFonts w:cs="黑体"/>
          <w:spacing w:val="-1"/>
          <w:lang w:eastAsia="zh-CN"/>
        </w:rPr>
      </w:pPr>
      <w:r>
        <w:rPr>
          <w:rFonts w:hint="eastAsia"/>
          <w:lang w:eastAsia="zh-CN"/>
        </w:rPr>
        <w:t>8.2.1  落实项目环境影响评价报告对矿山开发利用产生的废气、噪声的处理措施。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cs="黑体"/>
          <w:lang w:eastAsia="zh-CN"/>
        </w:rPr>
      </w:pPr>
      <w:r>
        <w:rPr>
          <w:rFonts w:hint="eastAsia" w:cs="黑体"/>
          <w:lang w:eastAsia="zh-CN"/>
        </w:rPr>
        <w:t>8</w:t>
      </w:r>
      <w:r>
        <w:rPr>
          <w:rFonts w:cs="黑体"/>
          <w:lang w:eastAsia="zh-CN"/>
        </w:rPr>
        <w:t>.2.</w:t>
      </w:r>
      <w:r>
        <w:rPr>
          <w:rFonts w:hint="eastAsia" w:cs="黑体"/>
          <w:lang w:eastAsia="zh-CN"/>
        </w:rPr>
        <w:t xml:space="preserve">2  </w:t>
      </w:r>
      <w:r>
        <w:rPr>
          <w:lang w:eastAsia="zh-CN"/>
        </w:rPr>
        <w:t>对高噪音设备进行有效降噪处理，工业场所噪声接触限值符合</w:t>
      </w:r>
      <w:r>
        <w:rPr>
          <w:rFonts w:cs="Times New Roman"/>
          <w:lang w:eastAsia="zh-CN"/>
        </w:rPr>
        <w:t>GBZ2.2</w:t>
      </w:r>
      <w:r>
        <w:rPr>
          <w:lang w:eastAsia="zh-CN"/>
        </w:rPr>
        <w:t>的规定要求，工业企业厂界噪声排放限值符合</w:t>
      </w:r>
      <w:r>
        <w:rPr>
          <w:rFonts w:cs="Times New Roman"/>
          <w:lang w:eastAsia="zh-CN"/>
        </w:rPr>
        <w:t>GB12348</w:t>
      </w:r>
      <w:r>
        <w:rPr>
          <w:rFonts w:hint="eastAsia" w:cs="Times New Roman"/>
          <w:lang w:eastAsia="zh-CN"/>
        </w:rPr>
        <w:t>-2008</w:t>
      </w:r>
      <w:r>
        <w:rPr>
          <w:lang w:eastAsia="zh-CN"/>
        </w:rPr>
        <w:t>的规定要求。</w:t>
      </w:r>
    </w:p>
    <w:p>
      <w:pPr>
        <w:spacing w:line="360" w:lineRule="auto"/>
        <w:rPr>
          <w:rFonts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 w:cs="黑体"/>
          <w:sz w:val="21"/>
          <w:szCs w:val="21"/>
          <w:lang w:eastAsia="zh-CN"/>
        </w:rPr>
        <w:t>8</w:t>
      </w:r>
      <w:r>
        <w:rPr>
          <w:rFonts w:ascii="宋体" w:hAnsi="宋体" w:eastAsia="宋体" w:cs="黑体"/>
          <w:sz w:val="21"/>
          <w:szCs w:val="21"/>
          <w:lang w:eastAsia="zh-CN"/>
        </w:rPr>
        <w:t>.2.</w:t>
      </w:r>
      <w:r>
        <w:rPr>
          <w:rFonts w:hint="eastAsia" w:ascii="宋体" w:hAnsi="宋体" w:eastAsia="宋体" w:cs="黑体"/>
          <w:sz w:val="21"/>
          <w:szCs w:val="21"/>
          <w:lang w:eastAsia="zh-CN"/>
        </w:rPr>
        <w:t xml:space="preserve">3  </w:t>
      </w:r>
      <w:r>
        <w:rPr>
          <w:rFonts w:hint="eastAsia" w:ascii="宋体" w:hAnsi="宋体" w:eastAsia="宋体"/>
          <w:sz w:val="21"/>
          <w:szCs w:val="21"/>
          <w:lang w:eastAsia="zh-CN"/>
        </w:rPr>
        <w:t>环境空气二氧化硫的质量符合GB3095-2012的二类区二级500微克/m</w:t>
      </w:r>
      <w:r>
        <w:rPr>
          <w:rFonts w:hint="eastAsia" w:ascii="宋体" w:hAnsi="宋体" w:eastAsia="宋体"/>
          <w:sz w:val="21"/>
          <w:szCs w:val="21"/>
          <w:vertAlign w:val="superscript"/>
          <w:lang w:eastAsia="zh-CN"/>
        </w:rPr>
        <w:t>3</w:t>
      </w:r>
      <w:r>
        <w:rPr>
          <w:rFonts w:hint="eastAsia" w:ascii="宋体" w:hAnsi="宋体" w:eastAsia="宋体"/>
          <w:sz w:val="21"/>
          <w:szCs w:val="21"/>
          <w:lang w:eastAsia="zh-CN"/>
        </w:rPr>
        <w:t>浓度限值的要求。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78" w:name="_Toc70356279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3 </w:t>
      </w:r>
      <w:r>
        <w:rPr>
          <w:rFonts w:ascii="黑体" w:hAnsi="黑体" w:eastAsia="黑体" w:cs="宋体"/>
          <w:lang w:eastAsia="zh-CN"/>
        </w:rPr>
        <w:t>尾水和废水处置</w:t>
      </w:r>
      <w:bookmarkEnd w:id="78"/>
    </w:p>
    <w:p>
      <w:pPr>
        <w:spacing w:line="360" w:lineRule="auto"/>
        <w:rPr>
          <w:rFonts w:ascii="宋体" w:hAnsi="宋体" w:eastAsia="宋体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/>
          <w:spacing w:val="-2"/>
          <w:sz w:val="21"/>
          <w:szCs w:val="21"/>
          <w:lang w:eastAsia="zh-CN"/>
        </w:rPr>
        <w:t>8.3.1  废水处理设施规范完备，废水处理率达到100%，生产废水处理达到《地表水环境质量标准》（GB3828-2002）中</w:t>
      </w:r>
      <w:r>
        <w:rPr>
          <w:rFonts w:ascii="宋体" w:hAnsi="宋体" w:eastAsia="宋体"/>
          <w:spacing w:val="-2"/>
          <w:sz w:val="21"/>
          <w:szCs w:val="21"/>
          <w:lang w:eastAsia="zh-CN"/>
        </w:rPr>
        <w:t>Ⅲ</w:t>
      </w:r>
      <w:r>
        <w:rPr>
          <w:rFonts w:hint="eastAsia" w:ascii="宋体" w:hAnsi="宋体" w:eastAsia="宋体"/>
          <w:spacing w:val="-2"/>
          <w:sz w:val="21"/>
          <w:szCs w:val="21"/>
          <w:lang w:eastAsia="zh-CN"/>
        </w:rPr>
        <w:t>类标准（总氮除外）并按照环评批复要求回用，生活污水执行纳管标准后通过市政污水管网进入市政污水处理厂，防止对地下水环境的污染。矿泉水废水循环利用率100%。</w:t>
      </w:r>
    </w:p>
    <w:p>
      <w:pPr>
        <w:spacing w:line="360" w:lineRule="auto"/>
        <w:rPr>
          <w:rFonts w:ascii="宋体" w:hAnsi="宋体" w:eastAsia="宋体"/>
          <w:spacing w:val="-2"/>
          <w:sz w:val="21"/>
          <w:szCs w:val="21"/>
          <w:lang w:eastAsia="zh-CN"/>
        </w:rPr>
      </w:pPr>
      <w:r>
        <w:rPr>
          <w:rFonts w:hint="eastAsia" w:ascii="宋体" w:hAnsi="宋体" w:eastAsia="宋体"/>
          <w:spacing w:val="-2"/>
          <w:sz w:val="21"/>
          <w:szCs w:val="21"/>
          <w:lang w:eastAsia="zh-CN"/>
        </w:rPr>
        <w:t>8.3.2  地热</w:t>
      </w:r>
      <w:r>
        <w:rPr>
          <w:rFonts w:ascii="宋体" w:hAnsi="宋体" w:eastAsia="宋体"/>
          <w:spacing w:val="-2"/>
          <w:sz w:val="21"/>
          <w:szCs w:val="21"/>
          <w:lang w:eastAsia="zh-CN"/>
        </w:rPr>
        <w:t>矿泉水企业废水排放符合</w:t>
      </w:r>
      <w:r>
        <w:rPr>
          <w:rFonts w:hint="eastAsia" w:ascii="Times New Roman" w:hAnsi="Times New Roman"/>
          <w:spacing w:val="-2"/>
          <w:sz w:val="21"/>
          <w:szCs w:val="21"/>
          <w:lang w:eastAsia="zh-CN"/>
        </w:rPr>
        <w:t>DB 4426</w:t>
      </w:r>
      <w:r>
        <w:rPr>
          <w:rFonts w:ascii="宋体" w:hAnsi="宋体" w:eastAsia="宋体"/>
          <w:spacing w:val="-2"/>
          <w:sz w:val="21"/>
          <w:szCs w:val="21"/>
          <w:lang w:eastAsia="zh-CN"/>
        </w:rPr>
        <w:t>、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GB 3838</w:t>
      </w:r>
      <w:r>
        <w:rPr>
          <w:rFonts w:hint="eastAsia" w:ascii="Times New Roman" w:hAnsi="Times New Roman"/>
          <w:spacing w:val="-2"/>
          <w:sz w:val="21"/>
          <w:szCs w:val="21"/>
          <w:lang w:eastAsia="zh-CN"/>
        </w:rPr>
        <w:t xml:space="preserve">  </w:t>
      </w:r>
      <w:r>
        <w:rPr>
          <w:rFonts w:ascii="宋体" w:hAnsi="宋体" w:eastAsia="宋体"/>
          <w:spacing w:val="-2"/>
          <w:sz w:val="21"/>
          <w:szCs w:val="21"/>
          <w:lang w:eastAsia="zh-CN"/>
        </w:rPr>
        <w:t>等标准要求。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79" w:name="_bookmark13"/>
      <w:bookmarkEnd w:id="79"/>
      <w:bookmarkStart w:id="80" w:name="_Toc70356280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.4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矿区环境保护</w:t>
      </w:r>
      <w:bookmarkEnd w:id="80"/>
    </w:p>
    <w:p>
      <w:pPr>
        <w:spacing w:line="360" w:lineRule="auto"/>
        <w:contextualSpacing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8.4.1  切实做好矿山开采过程中水源地的保护，以及水温、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水质、水量、水位的天然动态和开采动态变化的监测。在确保水质稳定的前提下控制开采量；严禁在水源地保护区及开采井影响半径范围施设新井开采，杜绝盲目超量开采和越层（流）开采诱发水位明显下降、水质退化、地面沉降等地质环境问题，确保其水源的永续利用。</w:t>
      </w:r>
    </w:p>
    <w:p>
      <w:pPr>
        <w:spacing w:line="360" w:lineRule="auto"/>
        <w:contextualSpacing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 xml:space="preserve">8.4.2  </w:t>
      </w:r>
      <w:r>
        <w:rPr>
          <w:sz w:val="21"/>
          <w:szCs w:val="21"/>
          <w:lang w:eastAsia="zh-CN"/>
        </w:rPr>
        <w:t>矿泉水开采应建立远程自动监测系统，实时监测开采井的水位、水温、水量。</w:t>
      </w:r>
    </w:p>
    <w:p>
      <w:pPr>
        <w:spacing w:line="360" w:lineRule="auto"/>
        <w:contextualSpacing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8.4.3  应</w:t>
      </w:r>
      <w:r>
        <w:rPr>
          <w:rFonts w:ascii="宋体" w:hAnsi="宋体" w:eastAsia="宋体" w:cs="宋体"/>
          <w:sz w:val="21"/>
          <w:szCs w:val="21"/>
          <w:lang w:eastAsia="zh-CN"/>
        </w:rPr>
        <w:t>制定环境监测与灾害应急预警机制，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设置专门机构，配备专职人员，监测数据向社会公开，接受社会公众监督。</w:t>
      </w:r>
    </w:p>
    <w:p>
      <w:pPr>
        <w:spacing w:line="360" w:lineRule="auto"/>
        <w:contextualSpacing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8.4.4  </w:t>
      </w:r>
      <w:r>
        <w:rPr>
          <w:sz w:val="21"/>
          <w:szCs w:val="21"/>
          <w:lang w:eastAsia="zh-CN"/>
        </w:rPr>
        <w:t>对报废及闭坑后的地热矿泉水井及时进行有效封堵。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81" w:name="_bookmark23"/>
      <w:bookmarkEnd w:id="81"/>
      <w:bookmarkStart w:id="82" w:name="_bookmark24"/>
      <w:bookmarkEnd w:id="82"/>
      <w:bookmarkStart w:id="83" w:name="_bookmark22"/>
      <w:bookmarkEnd w:id="83"/>
      <w:bookmarkStart w:id="84" w:name="_Toc70356281"/>
      <w:r>
        <w:rPr>
          <w:rFonts w:hint="eastAsia" w:cs="宋体"/>
          <w:sz w:val="21"/>
          <w:szCs w:val="21"/>
          <w:lang w:eastAsia="zh-CN"/>
        </w:rPr>
        <w:t xml:space="preserve">9 </w:t>
      </w:r>
      <w:r>
        <w:rPr>
          <w:rFonts w:cs="宋体"/>
          <w:sz w:val="21"/>
          <w:szCs w:val="21"/>
          <w:lang w:eastAsia="zh-CN"/>
        </w:rPr>
        <w:t>科技创新与智能矿山</w:t>
      </w:r>
      <w:bookmarkEnd w:id="84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85" w:name="_bookmark25"/>
      <w:bookmarkEnd w:id="85"/>
      <w:bookmarkStart w:id="86" w:name="_bookmark26"/>
      <w:bookmarkEnd w:id="86"/>
      <w:bookmarkStart w:id="87" w:name="_Toc70356282"/>
      <w:r>
        <w:rPr>
          <w:rFonts w:ascii="黑体" w:hAnsi="黑体" w:eastAsia="黑体" w:cs="宋体"/>
          <w:lang w:eastAsia="zh-CN"/>
        </w:rPr>
        <w:t>9.</w:t>
      </w:r>
      <w:r>
        <w:rPr>
          <w:rFonts w:hint="eastAsia" w:ascii="黑体" w:hAnsi="黑体" w:eastAsia="黑体" w:cs="宋体"/>
          <w:lang w:eastAsia="zh-CN"/>
        </w:rPr>
        <w:t xml:space="preserve">1 </w:t>
      </w:r>
      <w:r>
        <w:rPr>
          <w:rFonts w:ascii="黑体" w:hAnsi="黑体" w:eastAsia="黑体" w:cs="宋体"/>
          <w:lang w:eastAsia="zh-CN"/>
        </w:rPr>
        <w:t>科技创新</w:t>
      </w:r>
      <w:bookmarkEnd w:id="87"/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9.</w:t>
      </w:r>
      <w:r>
        <w:rPr>
          <w:rFonts w:hint="eastAsia" w:cs="宋体"/>
          <w:lang w:eastAsia="zh-CN"/>
        </w:rPr>
        <w:t>1</w:t>
      </w:r>
      <w:r>
        <w:rPr>
          <w:rFonts w:cs="宋体"/>
          <w:lang w:eastAsia="zh-CN"/>
        </w:rPr>
        <w:t>.1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建立以企业为主体、市场为导向、产学研用相结合的科技创新体系，改进工艺技术水平，推广转化科技成果，加大技术改造力度，推动产业绿色升级。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9.</w:t>
      </w:r>
      <w:r>
        <w:rPr>
          <w:rFonts w:hint="eastAsia" w:cs="宋体"/>
          <w:lang w:eastAsia="zh-CN"/>
        </w:rPr>
        <w:t>1</w:t>
      </w:r>
      <w:r>
        <w:rPr>
          <w:rFonts w:cs="宋体"/>
          <w:lang w:eastAsia="zh-CN"/>
        </w:rPr>
        <w:t>.2</w:t>
      </w:r>
      <w:r>
        <w:rPr>
          <w:rFonts w:hint="eastAsia" w:cs="宋体"/>
          <w:lang w:eastAsia="zh-CN"/>
        </w:rPr>
        <w:t xml:space="preserve">  加强换热技术、梯级利用科技创新，优化采用结构，提高资源综合利用水平。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9.</w:t>
      </w:r>
      <w:r>
        <w:rPr>
          <w:rFonts w:hint="eastAsia" w:cs="宋体"/>
          <w:lang w:eastAsia="zh-CN"/>
        </w:rPr>
        <w:t>1</w:t>
      </w:r>
      <w:r>
        <w:rPr>
          <w:rFonts w:cs="宋体"/>
          <w:lang w:eastAsia="zh-CN"/>
        </w:rPr>
        <w:t>.3</w:t>
      </w:r>
      <w:r>
        <w:rPr>
          <w:rFonts w:hint="eastAsia" w:cs="宋体"/>
          <w:lang w:eastAsia="zh-CN"/>
        </w:rPr>
        <w:t xml:space="preserve">  矿山科</w:t>
      </w:r>
      <w:r>
        <w:rPr>
          <w:rFonts w:cs="宋体"/>
          <w:lang w:eastAsia="zh-CN"/>
        </w:rPr>
        <w:t>研开发和技改资金投入不低于上年度主营业务收入的1</w:t>
      </w:r>
      <w:r>
        <w:rPr>
          <w:rFonts w:hint="eastAsia" w:cs="宋体"/>
          <w:lang w:eastAsia="zh-CN"/>
        </w:rPr>
        <w:t>.5</w:t>
      </w:r>
      <w:r>
        <w:rPr>
          <w:rFonts w:cs="宋体"/>
          <w:lang w:eastAsia="zh-CN"/>
        </w:rPr>
        <w:t>%。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88" w:name="_bookmark27"/>
      <w:bookmarkEnd w:id="88"/>
      <w:bookmarkStart w:id="89" w:name="_Toc70356283"/>
      <w:r>
        <w:rPr>
          <w:rFonts w:ascii="黑体" w:hAnsi="黑体" w:eastAsia="黑体" w:cs="宋体"/>
          <w:lang w:eastAsia="zh-CN"/>
        </w:rPr>
        <w:t>9.</w:t>
      </w:r>
      <w:r>
        <w:rPr>
          <w:rFonts w:hint="eastAsia" w:ascii="黑体" w:hAnsi="黑体" w:eastAsia="黑体" w:cs="宋体"/>
          <w:lang w:eastAsia="zh-CN"/>
        </w:rPr>
        <w:t>2 智能</w:t>
      </w:r>
      <w:r>
        <w:rPr>
          <w:rFonts w:ascii="黑体" w:hAnsi="黑体" w:eastAsia="黑体" w:cs="宋体"/>
          <w:lang w:eastAsia="zh-CN"/>
        </w:rPr>
        <w:t>矿山</w:t>
      </w:r>
      <w:bookmarkEnd w:id="89"/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生产技术工艺装备现代化，及时淘汰高能耗、高污染、低效率的工艺和设备。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  地热矿泉水开采、生产、处理、计量、包装等实现全过程智能远程监控，地热矿泉水关键生产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、处理、加工工艺流程数控化率不低于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80%。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3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生产运营管理采用信息技术、网络技术、控制技术、智能技术，实现矿山企业经营、生产决策、安全生产管理和设备控制的信息化。 </w:t>
      </w:r>
    </w:p>
    <w:p>
      <w:pPr>
        <w:pStyle w:val="2"/>
        <w:spacing w:before="260" w:after="260" w:line="400" w:lineRule="exact"/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90" w:name="_bookmark28"/>
      <w:bookmarkEnd w:id="90"/>
      <w:bookmarkStart w:id="91" w:name="_Toc70356284"/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企业管理与企业形象</w:t>
      </w:r>
      <w:bookmarkEnd w:id="91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92" w:name="_bookmark30"/>
      <w:bookmarkEnd w:id="92"/>
      <w:bookmarkStart w:id="93" w:name="_bookmark29"/>
      <w:bookmarkEnd w:id="93"/>
      <w:bookmarkStart w:id="94" w:name="_Toc70356285"/>
      <w:r>
        <w:rPr>
          <w:rFonts w:ascii="黑体" w:hAnsi="黑体" w:eastAsia="黑体" w:cs="宋体"/>
          <w:lang w:eastAsia="zh-CN"/>
        </w:rPr>
        <w:t>10.</w:t>
      </w:r>
      <w:r>
        <w:rPr>
          <w:rFonts w:hint="eastAsia" w:ascii="黑体" w:hAnsi="黑体" w:eastAsia="黑体" w:cs="宋体"/>
          <w:lang w:eastAsia="zh-CN"/>
        </w:rPr>
        <w:t xml:space="preserve">1 </w:t>
      </w:r>
      <w:r>
        <w:rPr>
          <w:rFonts w:ascii="黑体" w:hAnsi="黑体" w:eastAsia="黑体" w:cs="宋体"/>
          <w:lang w:eastAsia="zh-CN"/>
        </w:rPr>
        <w:t>企业文化</w:t>
      </w:r>
      <w:bookmarkEnd w:id="94"/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树立以人为本、创新学习、行为规范、高效安全、生态文明、绿色发展的企业核心价值观，体现地热矿山行业特色。有明确的绿色矿山建设发展理念、实施规划、具体措施。</w:t>
      </w:r>
    </w:p>
    <w:p>
      <w:pPr>
        <w:pStyle w:val="5"/>
        <w:tabs>
          <w:tab w:val="left" w:pos="750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.2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企业发展愿景应符合全员共同追求的目标，企业长远发展战略和职工个人价值实现紧密结合。健全企业工会组织，并切实发挥作用，建立企业职工收入随企业业绩同步增长机制。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职工物质、体育、文化生活丰富，重视职工生活、关注职工健康，维护职工权益，业主与职工关系融洽、氛围和谐。企业职工满意度不低于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85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%。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95" w:name="_bookmark31"/>
      <w:bookmarkEnd w:id="95"/>
      <w:bookmarkStart w:id="96" w:name="_Toc70356286"/>
      <w:r>
        <w:rPr>
          <w:rFonts w:ascii="黑体" w:hAnsi="黑体" w:eastAsia="黑体" w:cs="宋体"/>
          <w:lang w:eastAsia="zh-CN"/>
        </w:rPr>
        <w:t>10.</w:t>
      </w:r>
      <w:r>
        <w:rPr>
          <w:rFonts w:hint="eastAsia" w:ascii="黑体" w:hAnsi="黑体" w:eastAsia="黑体" w:cs="宋体"/>
          <w:lang w:eastAsia="zh-CN"/>
        </w:rPr>
        <w:t xml:space="preserve">2 </w:t>
      </w:r>
      <w:r>
        <w:rPr>
          <w:rFonts w:ascii="黑体" w:hAnsi="黑体" w:eastAsia="黑体" w:cs="宋体"/>
          <w:lang w:eastAsia="zh-CN"/>
        </w:rPr>
        <w:t>企业管理</w:t>
      </w:r>
      <w:bookmarkEnd w:id="96"/>
    </w:p>
    <w:p>
      <w:pPr>
        <w:pStyle w:val="5"/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建立资源管理、生态环境保护、安全生产和职业病防治等规章制度，明确工作机制，责任落实 到位。</w:t>
      </w:r>
    </w:p>
    <w:p>
      <w:pPr>
        <w:pStyle w:val="5"/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.2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各类报表、台账、档案资料等齐全、完整。</w:t>
      </w:r>
    </w:p>
    <w:p>
      <w:pPr>
        <w:pStyle w:val="5"/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.3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建立职工培训制度，培训计划明确，培训记录清晰。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97" w:name="_bookmark32"/>
      <w:bookmarkEnd w:id="97"/>
      <w:bookmarkStart w:id="98" w:name="_Toc70356287"/>
      <w:r>
        <w:rPr>
          <w:rFonts w:ascii="黑体" w:hAnsi="黑体" w:eastAsia="黑体" w:cs="宋体"/>
          <w:lang w:eastAsia="zh-CN"/>
        </w:rPr>
        <w:t>10.</w:t>
      </w:r>
      <w:r>
        <w:rPr>
          <w:rFonts w:hint="eastAsia" w:ascii="黑体" w:hAnsi="黑体" w:eastAsia="黑体" w:cs="宋体"/>
          <w:lang w:eastAsia="zh-CN"/>
        </w:rPr>
        <w:t xml:space="preserve">3 </w:t>
      </w:r>
      <w:r>
        <w:rPr>
          <w:rFonts w:ascii="黑体" w:hAnsi="黑体" w:eastAsia="黑体" w:cs="宋体"/>
          <w:lang w:eastAsia="zh-CN"/>
        </w:rPr>
        <w:t>企业诚信</w:t>
      </w:r>
      <w:bookmarkEnd w:id="98"/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企业形象好，无不良信用记录，履行社会责任，积极参与和支持社会公益事业，主动接受社会团体、新闻媒体和公众监督。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.2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公开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披露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有关企业建设和生产相关的环境、健康、安全、和社会影响的信息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99" w:name="_bookmark33"/>
      <w:bookmarkEnd w:id="99"/>
      <w:bookmarkStart w:id="100" w:name="_Toc70356288"/>
      <w:r>
        <w:rPr>
          <w:rFonts w:ascii="黑体" w:hAnsi="黑体" w:eastAsia="黑体" w:cs="宋体"/>
          <w:lang w:eastAsia="zh-CN"/>
        </w:rPr>
        <w:t>10.</w:t>
      </w:r>
      <w:r>
        <w:rPr>
          <w:rFonts w:hint="eastAsia" w:ascii="黑体" w:hAnsi="黑体" w:eastAsia="黑体" w:cs="宋体"/>
          <w:lang w:eastAsia="zh-CN"/>
        </w:rPr>
        <w:t xml:space="preserve">4 </w:t>
      </w:r>
      <w:r>
        <w:rPr>
          <w:rFonts w:ascii="黑体" w:hAnsi="黑体" w:eastAsia="黑体" w:cs="宋体"/>
          <w:lang w:eastAsia="zh-CN"/>
        </w:rPr>
        <w:t>企地和谐</w:t>
      </w:r>
      <w:bookmarkEnd w:id="100"/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构建企地共建、利益共享、共同发展的办矿理念。宜通过创立社区发展平台，构建长效合作 机制，发挥多方资源和优势，建立多元合作型的矿区社会管理共赢模式。</w:t>
      </w:r>
    </w:p>
    <w:p>
      <w:pPr>
        <w:pStyle w:val="5"/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.2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建立矿区群众满意度调查机制，在教育、就业、交通、生活、环保等方面提供支持，提高矿区群众生活质量，企业与乡镇、村（社区）及周边居民关系和谐，矿区周边群众满意度不低于80%。</w:t>
      </w:r>
    </w:p>
    <w:p>
      <w:pPr>
        <w:pStyle w:val="5"/>
        <w:spacing w:line="360" w:lineRule="auto"/>
        <w:ind w:left="0"/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.3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与矿山所在乡镇（街道）、村（社区）等建立磋商和协商机制，及时妥善处理好各种利益纠纷，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避免</w:t>
      </w:r>
      <w:r>
        <w:rPr>
          <w:rFonts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发生重大群体性事件。</w:t>
      </w:r>
    </w:p>
    <w:p>
      <w:pPr>
        <w:pStyle w:val="5"/>
        <w:tabs>
          <w:tab w:val="left" w:pos="961"/>
        </w:tabs>
        <w:spacing w:line="360" w:lineRule="auto"/>
        <w:ind w:left="0" w:firstLine="480" w:firstLineChars="200"/>
        <w:rPr>
          <w:rFonts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tabs>
          <w:tab w:val="left" w:pos="961"/>
        </w:tabs>
        <w:spacing w:line="360" w:lineRule="auto"/>
        <w:ind w:left="0" w:firstLine="480" w:firstLineChars="200"/>
        <w:rPr>
          <w:rFonts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tabs>
          <w:tab w:val="left" w:pos="961"/>
        </w:tabs>
        <w:spacing w:line="360" w:lineRule="auto"/>
        <w:ind w:left="0" w:firstLine="480" w:firstLineChars="200"/>
        <w:rPr>
          <w:rFonts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after="240" w:afterLines="100"/>
        <w:ind w:left="6"/>
        <w:jc w:val="center"/>
        <w:rPr>
          <w:sz w:val="21"/>
          <w:szCs w:val="21"/>
          <w:lang w:eastAsia="zh-CN"/>
        </w:rPr>
      </w:pPr>
      <w:bookmarkStart w:id="101" w:name="_Toc70356289"/>
      <w:bookmarkStart w:id="102" w:name="_Toc70329394"/>
      <w:r>
        <w:rPr>
          <w:rFonts w:hint="eastAsia"/>
          <w:sz w:val="21"/>
          <w:szCs w:val="21"/>
          <w:lang w:eastAsia="zh-CN"/>
        </w:rPr>
        <w:t>参考文献</w:t>
      </w:r>
      <w:bookmarkEnd w:id="101"/>
      <w:bookmarkEnd w:id="102"/>
    </w:p>
    <w:p>
      <w:pPr>
        <w:spacing w:line="360" w:lineRule="auto"/>
        <w:rPr>
          <w:rFonts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[1] 国土资源部，财政部，环境保护部，国家质量监督检验检疫总局，中国银行业监督管理委员会，中国证券监督管理委员会.关于加快建设绿色矿山的实施意见（国土资规﹝2017﹞4号）.2017年3月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[2] 国土资源部，国家发展改革委，工业和信息化部，财政部，环境保护部，商务部.全国矿产资源规划（2016-2020）.2016年11月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[3] 国家发展改革委.国家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重点节能技术推广目录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[4] 工业和信息化部.高耗能落后机电设备（产品）淘汰目录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[5] 工业和信息化部.节能机电设备（产品）推荐目录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[6] 广东省绿色矿业发展五年行动方案（2021-2025年）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[7] 深圳市矿产资源规划（2016-2020）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[8] “无废城市”建设试点工作方案.国办发﹝2018﹞128号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[9] 生态环境部.《“无废城市”建设试点实施方案编制指南》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[10] 生态环境部.《“无废城市”建设指标体系（试行）》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[11] </w:t>
      </w:r>
      <w:r>
        <w:rPr>
          <w:rFonts w:hint="eastAsia" w:cs="宋体"/>
          <w:lang w:eastAsia="zh-CN"/>
        </w:rPr>
        <w:t>深圳市“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无废城市”</w:t>
      </w:r>
      <w:r>
        <w:rPr>
          <w:rFonts w:hint="eastAsia" w:cs="宋体"/>
          <w:lang w:eastAsia="zh-CN"/>
        </w:rPr>
        <w:t>建设试点实施方案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[12] 深圳市推进海绵城市建设工作实施方案</w:t>
      </w:r>
    </w:p>
    <w:p>
      <w:pPr>
        <w:rPr>
          <w:rFonts w:ascii="宋体" w:hAnsi="宋体" w:eastAsia="宋体" w:cs="宋体"/>
          <w:color w:val="FF0000"/>
          <w:sz w:val="21"/>
          <w:szCs w:val="21"/>
          <w:lang w:eastAsia="zh-CN"/>
        </w:rPr>
      </w:pP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7" w:type="default"/>
      <w:footerReference r:id="rId8" w:type="default"/>
      <w:pgSz w:w="11910" w:h="16840"/>
      <w:pgMar w:top="1440" w:right="1134" w:bottom="1440" w:left="1418" w:header="1446" w:footer="1140" w:gutter="0"/>
      <w:pgNumType w:start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</w: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0440128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I</w:t>
        </w:r>
        <w: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0869045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7</w:t>
        </w:r>
        <w: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FF"/>
    <w:rsid w:val="00004393"/>
    <w:rsid w:val="00005F6C"/>
    <w:rsid w:val="0001275D"/>
    <w:rsid w:val="000201ED"/>
    <w:rsid w:val="00021971"/>
    <w:rsid w:val="000224FF"/>
    <w:rsid w:val="00035E22"/>
    <w:rsid w:val="00045983"/>
    <w:rsid w:val="0004783A"/>
    <w:rsid w:val="00053D6D"/>
    <w:rsid w:val="00053EDF"/>
    <w:rsid w:val="00054D33"/>
    <w:rsid w:val="000605A2"/>
    <w:rsid w:val="0006660E"/>
    <w:rsid w:val="000742C0"/>
    <w:rsid w:val="000746FE"/>
    <w:rsid w:val="00085CE9"/>
    <w:rsid w:val="00087679"/>
    <w:rsid w:val="00090ED2"/>
    <w:rsid w:val="0009649C"/>
    <w:rsid w:val="00097026"/>
    <w:rsid w:val="00097607"/>
    <w:rsid w:val="000A176F"/>
    <w:rsid w:val="000A28E9"/>
    <w:rsid w:val="000A6572"/>
    <w:rsid w:val="000A770E"/>
    <w:rsid w:val="000B2EBA"/>
    <w:rsid w:val="000C2DE4"/>
    <w:rsid w:val="000C5FFF"/>
    <w:rsid w:val="000C6B7F"/>
    <w:rsid w:val="000D664D"/>
    <w:rsid w:val="000D7C14"/>
    <w:rsid w:val="000E022C"/>
    <w:rsid w:val="000E3326"/>
    <w:rsid w:val="000E33D4"/>
    <w:rsid w:val="000E3C7B"/>
    <w:rsid w:val="000E53F1"/>
    <w:rsid w:val="000F1D76"/>
    <w:rsid w:val="000F4886"/>
    <w:rsid w:val="000F7270"/>
    <w:rsid w:val="00100579"/>
    <w:rsid w:val="0010788C"/>
    <w:rsid w:val="00107D65"/>
    <w:rsid w:val="00120A2A"/>
    <w:rsid w:val="00124A66"/>
    <w:rsid w:val="00127281"/>
    <w:rsid w:val="00127F23"/>
    <w:rsid w:val="00134928"/>
    <w:rsid w:val="00143E70"/>
    <w:rsid w:val="00146B11"/>
    <w:rsid w:val="0016545D"/>
    <w:rsid w:val="00176575"/>
    <w:rsid w:val="00196CE4"/>
    <w:rsid w:val="001A0354"/>
    <w:rsid w:val="001A4423"/>
    <w:rsid w:val="001B1D27"/>
    <w:rsid w:val="001C3E5C"/>
    <w:rsid w:val="001C49F1"/>
    <w:rsid w:val="001C7704"/>
    <w:rsid w:val="001D6D30"/>
    <w:rsid w:val="001E76BB"/>
    <w:rsid w:val="001F0FD5"/>
    <w:rsid w:val="001F32F6"/>
    <w:rsid w:val="001F5D76"/>
    <w:rsid w:val="00200B25"/>
    <w:rsid w:val="00202159"/>
    <w:rsid w:val="00204457"/>
    <w:rsid w:val="00205A5D"/>
    <w:rsid w:val="0020609C"/>
    <w:rsid w:val="002060A8"/>
    <w:rsid w:val="00207E47"/>
    <w:rsid w:val="00210B24"/>
    <w:rsid w:val="00216908"/>
    <w:rsid w:val="0022032D"/>
    <w:rsid w:val="00221FB0"/>
    <w:rsid w:val="0022413A"/>
    <w:rsid w:val="00242EAE"/>
    <w:rsid w:val="002522EE"/>
    <w:rsid w:val="002527D3"/>
    <w:rsid w:val="002534E0"/>
    <w:rsid w:val="002557F2"/>
    <w:rsid w:val="00261F95"/>
    <w:rsid w:val="00271131"/>
    <w:rsid w:val="00275168"/>
    <w:rsid w:val="00275270"/>
    <w:rsid w:val="002772F7"/>
    <w:rsid w:val="0028100A"/>
    <w:rsid w:val="00290EE0"/>
    <w:rsid w:val="00294A87"/>
    <w:rsid w:val="002961EB"/>
    <w:rsid w:val="00297E5F"/>
    <w:rsid w:val="002A21FD"/>
    <w:rsid w:val="002A5D7C"/>
    <w:rsid w:val="002A65AF"/>
    <w:rsid w:val="002C2D34"/>
    <w:rsid w:val="002E37A7"/>
    <w:rsid w:val="002F47CA"/>
    <w:rsid w:val="002F691C"/>
    <w:rsid w:val="002F6E0E"/>
    <w:rsid w:val="00304F78"/>
    <w:rsid w:val="003062E3"/>
    <w:rsid w:val="003128FF"/>
    <w:rsid w:val="00331EE6"/>
    <w:rsid w:val="00334D20"/>
    <w:rsid w:val="00336628"/>
    <w:rsid w:val="00341942"/>
    <w:rsid w:val="00342272"/>
    <w:rsid w:val="003457D5"/>
    <w:rsid w:val="003555D4"/>
    <w:rsid w:val="003560FC"/>
    <w:rsid w:val="00357772"/>
    <w:rsid w:val="00361494"/>
    <w:rsid w:val="00364C0B"/>
    <w:rsid w:val="0037184D"/>
    <w:rsid w:val="00371F97"/>
    <w:rsid w:val="00376974"/>
    <w:rsid w:val="00380F75"/>
    <w:rsid w:val="00382611"/>
    <w:rsid w:val="00384DF9"/>
    <w:rsid w:val="003944D7"/>
    <w:rsid w:val="00396BE0"/>
    <w:rsid w:val="003B40CB"/>
    <w:rsid w:val="003B73D6"/>
    <w:rsid w:val="003C577E"/>
    <w:rsid w:val="003D1B9D"/>
    <w:rsid w:val="003D4F38"/>
    <w:rsid w:val="003E0DA7"/>
    <w:rsid w:val="003E248A"/>
    <w:rsid w:val="003E3021"/>
    <w:rsid w:val="003E5473"/>
    <w:rsid w:val="003E7530"/>
    <w:rsid w:val="003F154C"/>
    <w:rsid w:val="003F2065"/>
    <w:rsid w:val="003F36C1"/>
    <w:rsid w:val="003F5405"/>
    <w:rsid w:val="004044DA"/>
    <w:rsid w:val="004063ED"/>
    <w:rsid w:val="004101EB"/>
    <w:rsid w:val="00410B31"/>
    <w:rsid w:val="00412922"/>
    <w:rsid w:val="00417BAA"/>
    <w:rsid w:val="00421C7D"/>
    <w:rsid w:val="004258E5"/>
    <w:rsid w:val="00437E04"/>
    <w:rsid w:val="00441733"/>
    <w:rsid w:val="00442D68"/>
    <w:rsid w:val="0044437B"/>
    <w:rsid w:val="00446C24"/>
    <w:rsid w:val="00447835"/>
    <w:rsid w:val="00460D1C"/>
    <w:rsid w:val="00461487"/>
    <w:rsid w:val="00462509"/>
    <w:rsid w:val="00471E4F"/>
    <w:rsid w:val="00475994"/>
    <w:rsid w:val="0047679B"/>
    <w:rsid w:val="00481BC7"/>
    <w:rsid w:val="00483EE5"/>
    <w:rsid w:val="004859E2"/>
    <w:rsid w:val="00485A28"/>
    <w:rsid w:val="00492F4A"/>
    <w:rsid w:val="004A61D3"/>
    <w:rsid w:val="004B4626"/>
    <w:rsid w:val="004B4E95"/>
    <w:rsid w:val="004C06B0"/>
    <w:rsid w:val="004C0B76"/>
    <w:rsid w:val="004C2358"/>
    <w:rsid w:val="004C63A6"/>
    <w:rsid w:val="004D0312"/>
    <w:rsid w:val="004D04AF"/>
    <w:rsid w:val="004D179F"/>
    <w:rsid w:val="004D258B"/>
    <w:rsid w:val="004D5D82"/>
    <w:rsid w:val="004D7F8E"/>
    <w:rsid w:val="004E7B0F"/>
    <w:rsid w:val="004E7D85"/>
    <w:rsid w:val="004F0383"/>
    <w:rsid w:val="004F4551"/>
    <w:rsid w:val="004F559E"/>
    <w:rsid w:val="00500A72"/>
    <w:rsid w:val="00501CC0"/>
    <w:rsid w:val="00503F76"/>
    <w:rsid w:val="00507111"/>
    <w:rsid w:val="00512241"/>
    <w:rsid w:val="00515424"/>
    <w:rsid w:val="00523164"/>
    <w:rsid w:val="005312CD"/>
    <w:rsid w:val="005421FF"/>
    <w:rsid w:val="00544A23"/>
    <w:rsid w:val="00552A6C"/>
    <w:rsid w:val="005537E6"/>
    <w:rsid w:val="00555A85"/>
    <w:rsid w:val="00556228"/>
    <w:rsid w:val="00557073"/>
    <w:rsid w:val="00561969"/>
    <w:rsid w:val="00564AC8"/>
    <w:rsid w:val="005675E0"/>
    <w:rsid w:val="00573F2D"/>
    <w:rsid w:val="005757AE"/>
    <w:rsid w:val="00586F91"/>
    <w:rsid w:val="00586FE7"/>
    <w:rsid w:val="00587C6F"/>
    <w:rsid w:val="005919B0"/>
    <w:rsid w:val="005928A9"/>
    <w:rsid w:val="00594432"/>
    <w:rsid w:val="00596B0A"/>
    <w:rsid w:val="005A4CC4"/>
    <w:rsid w:val="005B7AEB"/>
    <w:rsid w:val="005C1A3A"/>
    <w:rsid w:val="005D349F"/>
    <w:rsid w:val="005E03A6"/>
    <w:rsid w:val="005E0F7E"/>
    <w:rsid w:val="005F0F38"/>
    <w:rsid w:val="005F21A8"/>
    <w:rsid w:val="006043A8"/>
    <w:rsid w:val="0061114F"/>
    <w:rsid w:val="00614D72"/>
    <w:rsid w:val="00615F80"/>
    <w:rsid w:val="0061638F"/>
    <w:rsid w:val="0062645B"/>
    <w:rsid w:val="00630A84"/>
    <w:rsid w:val="00632E7E"/>
    <w:rsid w:val="00633A0D"/>
    <w:rsid w:val="00633B10"/>
    <w:rsid w:val="00636006"/>
    <w:rsid w:val="00636424"/>
    <w:rsid w:val="00647537"/>
    <w:rsid w:val="00652021"/>
    <w:rsid w:val="00656DFE"/>
    <w:rsid w:val="00662C4B"/>
    <w:rsid w:val="00673095"/>
    <w:rsid w:val="0067635F"/>
    <w:rsid w:val="00683506"/>
    <w:rsid w:val="00692133"/>
    <w:rsid w:val="00693E41"/>
    <w:rsid w:val="0069554F"/>
    <w:rsid w:val="00695935"/>
    <w:rsid w:val="006A0490"/>
    <w:rsid w:val="006A19DF"/>
    <w:rsid w:val="006A4CE0"/>
    <w:rsid w:val="006A4D07"/>
    <w:rsid w:val="006A50D3"/>
    <w:rsid w:val="006B1A30"/>
    <w:rsid w:val="006B53C3"/>
    <w:rsid w:val="006C582E"/>
    <w:rsid w:val="006D1C1D"/>
    <w:rsid w:val="006D21D3"/>
    <w:rsid w:val="006D47C2"/>
    <w:rsid w:val="006E468C"/>
    <w:rsid w:val="006F250D"/>
    <w:rsid w:val="006F2957"/>
    <w:rsid w:val="006F7AC9"/>
    <w:rsid w:val="0070367C"/>
    <w:rsid w:val="007059E4"/>
    <w:rsid w:val="007143D8"/>
    <w:rsid w:val="007145C9"/>
    <w:rsid w:val="00715E67"/>
    <w:rsid w:val="00722275"/>
    <w:rsid w:val="00722CB8"/>
    <w:rsid w:val="007278FB"/>
    <w:rsid w:val="0073076D"/>
    <w:rsid w:val="0073616D"/>
    <w:rsid w:val="00743099"/>
    <w:rsid w:val="007446EC"/>
    <w:rsid w:val="00747FFD"/>
    <w:rsid w:val="0075434A"/>
    <w:rsid w:val="0075541D"/>
    <w:rsid w:val="00761A98"/>
    <w:rsid w:val="00761F45"/>
    <w:rsid w:val="0076281F"/>
    <w:rsid w:val="00766CF6"/>
    <w:rsid w:val="00775307"/>
    <w:rsid w:val="00782915"/>
    <w:rsid w:val="007874EF"/>
    <w:rsid w:val="00792AB2"/>
    <w:rsid w:val="007A02E8"/>
    <w:rsid w:val="007A47F5"/>
    <w:rsid w:val="007B4F15"/>
    <w:rsid w:val="007B5073"/>
    <w:rsid w:val="007B551F"/>
    <w:rsid w:val="007C4AF0"/>
    <w:rsid w:val="007C7B37"/>
    <w:rsid w:val="007C7FEF"/>
    <w:rsid w:val="007D216D"/>
    <w:rsid w:val="007D27AD"/>
    <w:rsid w:val="007D2B1E"/>
    <w:rsid w:val="007D52E2"/>
    <w:rsid w:val="007D5487"/>
    <w:rsid w:val="007E7F1F"/>
    <w:rsid w:val="007F1DF8"/>
    <w:rsid w:val="007F4CA8"/>
    <w:rsid w:val="00801751"/>
    <w:rsid w:val="00803318"/>
    <w:rsid w:val="008041D2"/>
    <w:rsid w:val="008048DC"/>
    <w:rsid w:val="00804BFB"/>
    <w:rsid w:val="00806852"/>
    <w:rsid w:val="0081075F"/>
    <w:rsid w:val="00825796"/>
    <w:rsid w:val="00827B65"/>
    <w:rsid w:val="008400D0"/>
    <w:rsid w:val="0084572C"/>
    <w:rsid w:val="00846933"/>
    <w:rsid w:val="008531ED"/>
    <w:rsid w:val="00863F8E"/>
    <w:rsid w:val="00872B98"/>
    <w:rsid w:val="008742DC"/>
    <w:rsid w:val="008748FB"/>
    <w:rsid w:val="00874EF2"/>
    <w:rsid w:val="00876DBB"/>
    <w:rsid w:val="00882A0D"/>
    <w:rsid w:val="00884576"/>
    <w:rsid w:val="00885B7A"/>
    <w:rsid w:val="008959B5"/>
    <w:rsid w:val="00897E29"/>
    <w:rsid w:val="008A19CD"/>
    <w:rsid w:val="008A606B"/>
    <w:rsid w:val="008A61AB"/>
    <w:rsid w:val="008B441F"/>
    <w:rsid w:val="008B792E"/>
    <w:rsid w:val="008C2D86"/>
    <w:rsid w:val="008C2F1D"/>
    <w:rsid w:val="008C5193"/>
    <w:rsid w:val="008C566B"/>
    <w:rsid w:val="008D4B7B"/>
    <w:rsid w:val="008E6F56"/>
    <w:rsid w:val="008E7277"/>
    <w:rsid w:val="008E75E4"/>
    <w:rsid w:val="008F3F6A"/>
    <w:rsid w:val="008F7CF5"/>
    <w:rsid w:val="0090077F"/>
    <w:rsid w:val="00900FE1"/>
    <w:rsid w:val="009022A4"/>
    <w:rsid w:val="0090448A"/>
    <w:rsid w:val="009065E0"/>
    <w:rsid w:val="0091458B"/>
    <w:rsid w:val="0092177F"/>
    <w:rsid w:val="00930160"/>
    <w:rsid w:val="00930B93"/>
    <w:rsid w:val="00936A3E"/>
    <w:rsid w:val="0093716A"/>
    <w:rsid w:val="00937547"/>
    <w:rsid w:val="009375CE"/>
    <w:rsid w:val="00941E35"/>
    <w:rsid w:val="00943852"/>
    <w:rsid w:val="0094632F"/>
    <w:rsid w:val="0095579E"/>
    <w:rsid w:val="00962FFD"/>
    <w:rsid w:val="00965A85"/>
    <w:rsid w:val="00972408"/>
    <w:rsid w:val="00972D06"/>
    <w:rsid w:val="00973D01"/>
    <w:rsid w:val="009740AA"/>
    <w:rsid w:val="009853E5"/>
    <w:rsid w:val="00985CB2"/>
    <w:rsid w:val="009866C1"/>
    <w:rsid w:val="0099161A"/>
    <w:rsid w:val="00992548"/>
    <w:rsid w:val="00993A4D"/>
    <w:rsid w:val="009943A7"/>
    <w:rsid w:val="009A3691"/>
    <w:rsid w:val="009A37CD"/>
    <w:rsid w:val="009A5875"/>
    <w:rsid w:val="009B2672"/>
    <w:rsid w:val="009B42BE"/>
    <w:rsid w:val="009C01D4"/>
    <w:rsid w:val="009C22B0"/>
    <w:rsid w:val="009D0253"/>
    <w:rsid w:val="009D14ED"/>
    <w:rsid w:val="009E192F"/>
    <w:rsid w:val="009E5C00"/>
    <w:rsid w:val="009F0F35"/>
    <w:rsid w:val="009F6B5C"/>
    <w:rsid w:val="00A07C6A"/>
    <w:rsid w:val="00A10DB8"/>
    <w:rsid w:val="00A155FA"/>
    <w:rsid w:val="00A20E7F"/>
    <w:rsid w:val="00A2230E"/>
    <w:rsid w:val="00A26777"/>
    <w:rsid w:val="00A26FBB"/>
    <w:rsid w:val="00A43058"/>
    <w:rsid w:val="00A47F1E"/>
    <w:rsid w:val="00A5146F"/>
    <w:rsid w:val="00A51A37"/>
    <w:rsid w:val="00A5416F"/>
    <w:rsid w:val="00A54F48"/>
    <w:rsid w:val="00A76F89"/>
    <w:rsid w:val="00A77397"/>
    <w:rsid w:val="00A92C32"/>
    <w:rsid w:val="00AA1A41"/>
    <w:rsid w:val="00AA6B42"/>
    <w:rsid w:val="00AA7EC2"/>
    <w:rsid w:val="00AC3CF5"/>
    <w:rsid w:val="00AD19C4"/>
    <w:rsid w:val="00AD3204"/>
    <w:rsid w:val="00AE2306"/>
    <w:rsid w:val="00AE4B6A"/>
    <w:rsid w:val="00AF2784"/>
    <w:rsid w:val="00B1053B"/>
    <w:rsid w:val="00B12F3B"/>
    <w:rsid w:val="00B13027"/>
    <w:rsid w:val="00B16593"/>
    <w:rsid w:val="00B20A18"/>
    <w:rsid w:val="00B23B67"/>
    <w:rsid w:val="00B26861"/>
    <w:rsid w:val="00B26CB0"/>
    <w:rsid w:val="00B33AA5"/>
    <w:rsid w:val="00B372AD"/>
    <w:rsid w:val="00B4111C"/>
    <w:rsid w:val="00B4128C"/>
    <w:rsid w:val="00B41765"/>
    <w:rsid w:val="00B41D9D"/>
    <w:rsid w:val="00B4403E"/>
    <w:rsid w:val="00B451FD"/>
    <w:rsid w:val="00B4665E"/>
    <w:rsid w:val="00B5311E"/>
    <w:rsid w:val="00B63EA9"/>
    <w:rsid w:val="00B65B50"/>
    <w:rsid w:val="00B75AC3"/>
    <w:rsid w:val="00B7745C"/>
    <w:rsid w:val="00B80FEC"/>
    <w:rsid w:val="00B83FD2"/>
    <w:rsid w:val="00B95FDE"/>
    <w:rsid w:val="00BA0555"/>
    <w:rsid w:val="00BA0711"/>
    <w:rsid w:val="00BA0E85"/>
    <w:rsid w:val="00BA2638"/>
    <w:rsid w:val="00BA4093"/>
    <w:rsid w:val="00BA660C"/>
    <w:rsid w:val="00BB25FA"/>
    <w:rsid w:val="00BB266B"/>
    <w:rsid w:val="00BB5D90"/>
    <w:rsid w:val="00BC151C"/>
    <w:rsid w:val="00BD08D6"/>
    <w:rsid w:val="00BF1127"/>
    <w:rsid w:val="00BF41DF"/>
    <w:rsid w:val="00BF7402"/>
    <w:rsid w:val="00C06AED"/>
    <w:rsid w:val="00C10A45"/>
    <w:rsid w:val="00C15380"/>
    <w:rsid w:val="00C15F03"/>
    <w:rsid w:val="00C17E69"/>
    <w:rsid w:val="00C22A89"/>
    <w:rsid w:val="00C25D87"/>
    <w:rsid w:val="00C26FDC"/>
    <w:rsid w:val="00C37D8A"/>
    <w:rsid w:val="00C419AF"/>
    <w:rsid w:val="00C43808"/>
    <w:rsid w:val="00C478D9"/>
    <w:rsid w:val="00C479F0"/>
    <w:rsid w:val="00C5738C"/>
    <w:rsid w:val="00C67A98"/>
    <w:rsid w:val="00C7686F"/>
    <w:rsid w:val="00C77C42"/>
    <w:rsid w:val="00C8300C"/>
    <w:rsid w:val="00C8562F"/>
    <w:rsid w:val="00C92E3D"/>
    <w:rsid w:val="00C93BAA"/>
    <w:rsid w:val="00C96595"/>
    <w:rsid w:val="00CA2793"/>
    <w:rsid w:val="00CA5E54"/>
    <w:rsid w:val="00CA6F07"/>
    <w:rsid w:val="00CC18BE"/>
    <w:rsid w:val="00CC1C4B"/>
    <w:rsid w:val="00CD273E"/>
    <w:rsid w:val="00CD4A46"/>
    <w:rsid w:val="00CD7EC6"/>
    <w:rsid w:val="00CE34F4"/>
    <w:rsid w:val="00CF1343"/>
    <w:rsid w:val="00CF2E9C"/>
    <w:rsid w:val="00CF340D"/>
    <w:rsid w:val="00D1052A"/>
    <w:rsid w:val="00D145D8"/>
    <w:rsid w:val="00D14D00"/>
    <w:rsid w:val="00D32260"/>
    <w:rsid w:val="00D3347F"/>
    <w:rsid w:val="00D41C02"/>
    <w:rsid w:val="00D41C07"/>
    <w:rsid w:val="00D60E83"/>
    <w:rsid w:val="00D66197"/>
    <w:rsid w:val="00D678D5"/>
    <w:rsid w:val="00D72F2C"/>
    <w:rsid w:val="00D734C4"/>
    <w:rsid w:val="00D751D3"/>
    <w:rsid w:val="00D770DB"/>
    <w:rsid w:val="00D7778C"/>
    <w:rsid w:val="00D8068A"/>
    <w:rsid w:val="00D83A79"/>
    <w:rsid w:val="00D83B5C"/>
    <w:rsid w:val="00D9003C"/>
    <w:rsid w:val="00D914FC"/>
    <w:rsid w:val="00DA6A2D"/>
    <w:rsid w:val="00DB2F0F"/>
    <w:rsid w:val="00DB5796"/>
    <w:rsid w:val="00DC3E60"/>
    <w:rsid w:val="00DD1355"/>
    <w:rsid w:val="00DD22DB"/>
    <w:rsid w:val="00DE3148"/>
    <w:rsid w:val="00DE5467"/>
    <w:rsid w:val="00DE653C"/>
    <w:rsid w:val="00E05151"/>
    <w:rsid w:val="00E10B78"/>
    <w:rsid w:val="00E11AE8"/>
    <w:rsid w:val="00E15326"/>
    <w:rsid w:val="00E16116"/>
    <w:rsid w:val="00E162A7"/>
    <w:rsid w:val="00E21C19"/>
    <w:rsid w:val="00E27636"/>
    <w:rsid w:val="00E27791"/>
    <w:rsid w:val="00E32B38"/>
    <w:rsid w:val="00E34B84"/>
    <w:rsid w:val="00E34CF2"/>
    <w:rsid w:val="00E36537"/>
    <w:rsid w:val="00E4093B"/>
    <w:rsid w:val="00E41EF1"/>
    <w:rsid w:val="00E420C0"/>
    <w:rsid w:val="00E42827"/>
    <w:rsid w:val="00E45400"/>
    <w:rsid w:val="00E5004D"/>
    <w:rsid w:val="00E50526"/>
    <w:rsid w:val="00E51ED0"/>
    <w:rsid w:val="00E53A0A"/>
    <w:rsid w:val="00E55860"/>
    <w:rsid w:val="00E5781A"/>
    <w:rsid w:val="00E611C3"/>
    <w:rsid w:val="00E62388"/>
    <w:rsid w:val="00E65DD5"/>
    <w:rsid w:val="00E70AE7"/>
    <w:rsid w:val="00E77CD1"/>
    <w:rsid w:val="00E803A1"/>
    <w:rsid w:val="00E80940"/>
    <w:rsid w:val="00E80FDA"/>
    <w:rsid w:val="00E90149"/>
    <w:rsid w:val="00E90650"/>
    <w:rsid w:val="00E92ADF"/>
    <w:rsid w:val="00E934E1"/>
    <w:rsid w:val="00E97EB3"/>
    <w:rsid w:val="00EA2D22"/>
    <w:rsid w:val="00EA743C"/>
    <w:rsid w:val="00EB0B01"/>
    <w:rsid w:val="00EB1570"/>
    <w:rsid w:val="00EC2C81"/>
    <w:rsid w:val="00EC4BBE"/>
    <w:rsid w:val="00EC5F33"/>
    <w:rsid w:val="00ED0236"/>
    <w:rsid w:val="00ED5B60"/>
    <w:rsid w:val="00ED6223"/>
    <w:rsid w:val="00ED6D8B"/>
    <w:rsid w:val="00ED7703"/>
    <w:rsid w:val="00ED7F1B"/>
    <w:rsid w:val="00EE3EA2"/>
    <w:rsid w:val="00EE555A"/>
    <w:rsid w:val="00EE7187"/>
    <w:rsid w:val="00EF0170"/>
    <w:rsid w:val="00EF58A9"/>
    <w:rsid w:val="00EF64B3"/>
    <w:rsid w:val="00F03CBF"/>
    <w:rsid w:val="00F1270C"/>
    <w:rsid w:val="00F16298"/>
    <w:rsid w:val="00F17001"/>
    <w:rsid w:val="00F23F59"/>
    <w:rsid w:val="00F27CD3"/>
    <w:rsid w:val="00F40775"/>
    <w:rsid w:val="00F41F35"/>
    <w:rsid w:val="00F43A12"/>
    <w:rsid w:val="00F47E35"/>
    <w:rsid w:val="00F52E00"/>
    <w:rsid w:val="00F62822"/>
    <w:rsid w:val="00F64C2D"/>
    <w:rsid w:val="00F66B87"/>
    <w:rsid w:val="00F67426"/>
    <w:rsid w:val="00F77426"/>
    <w:rsid w:val="00F77627"/>
    <w:rsid w:val="00F828A9"/>
    <w:rsid w:val="00F94CE4"/>
    <w:rsid w:val="00F94D82"/>
    <w:rsid w:val="00FA16CB"/>
    <w:rsid w:val="00FA182F"/>
    <w:rsid w:val="00FA3A0B"/>
    <w:rsid w:val="00FC4535"/>
    <w:rsid w:val="00FC7B45"/>
    <w:rsid w:val="00FD5651"/>
    <w:rsid w:val="00FD7D6C"/>
    <w:rsid w:val="00FE4FA1"/>
    <w:rsid w:val="00FF0E8B"/>
    <w:rsid w:val="17FF63B9"/>
    <w:rsid w:val="395F76F9"/>
    <w:rsid w:val="D5B77C5A"/>
    <w:rsid w:val="DFB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"/>
      <w:ind w:left="5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widowControl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  <w:lang w:eastAsia="zh-CN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1"/>
      <w:szCs w:val="21"/>
    </w:rPr>
  </w:style>
  <w:style w:type="paragraph" w:styleId="6">
    <w:name w:val="toc 3"/>
    <w:basedOn w:val="1"/>
    <w:next w:val="1"/>
    <w:qFormat/>
    <w:uiPriority w:val="39"/>
    <w:pPr>
      <w:spacing w:before="230"/>
      <w:ind w:left="330"/>
    </w:pPr>
    <w:rPr>
      <w:rFonts w:ascii="宋体" w:hAnsi="宋体" w:eastAsia="宋体"/>
      <w:sz w:val="21"/>
      <w:szCs w:val="21"/>
    </w:r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spacing w:before="117"/>
    </w:pPr>
    <w:rPr>
      <w:rFonts w:ascii="宋体" w:hAnsi="宋体" w:eastAsia="宋体"/>
      <w:sz w:val="21"/>
      <w:szCs w:val="21"/>
    </w:rPr>
  </w:style>
  <w:style w:type="paragraph" w:styleId="12">
    <w:name w:val="toc 2"/>
    <w:basedOn w:val="1"/>
    <w:next w:val="1"/>
    <w:qFormat/>
    <w:uiPriority w:val="39"/>
    <w:pPr>
      <w:spacing w:before="40"/>
      <w:ind w:left="104"/>
    </w:pPr>
    <w:rPr>
      <w:rFonts w:ascii="宋体" w:hAnsi="宋体" w:eastAsia="宋体"/>
      <w:sz w:val="21"/>
      <w:szCs w:val="21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2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4"/>
    <w:link w:val="7"/>
    <w:semiHidden/>
    <w:qFormat/>
    <w:uiPriority w:val="99"/>
  </w:style>
  <w:style w:type="character" w:customStyle="1" w:styleId="24">
    <w:name w:val="标题 3 Char"/>
    <w:basedOn w:val="14"/>
    <w:link w:val="4"/>
    <w:semiHidden/>
    <w:qFormat/>
    <w:uiPriority w:val="9"/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en-US" w:bidi="ar-SA"/>
    </w:rPr>
  </w:style>
  <w:style w:type="character" w:customStyle="1" w:styleId="26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eastAsia="zh-CN"/>
    </w:rPr>
  </w:style>
  <w:style w:type="paragraph" w:customStyle="1" w:styleId="27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ind w:left="0"/>
      <w:outlineLvl w:val="9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1221</Words>
  <Characters>6960</Characters>
  <Lines>58</Lines>
  <Paragraphs>16</Paragraphs>
  <TotalTime>14</TotalTime>
  <ScaleCrop>false</ScaleCrop>
  <LinksUpToDate>false</LinksUpToDate>
  <CharactersWithSpaces>8165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2021-06-17T21:28:00Z</dcterms:created>
  <dc:creator>CNIS</dc:creator>
  <cp:lastModifiedBy>ql</cp:lastModifiedBy>
  <cp:lastPrinted>2024-04-19T14:13:21Z</cp:lastPrinted>
  <dcterms:modified xsi:type="dcterms:W3CDTF">2024-04-19T14:30:47Z</dcterms:modified>
  <dc:title>标准名称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LastSaved">
    <vt:filetime>2019-03-12T00:00:00Z</vt:filetime>
  </property>
  <property fmtid="{D5CDD505-2E9C-101B-9397-08002B2CF9AE}" pid="4" name="KSOProductBuildVer">
    <vt:lpwstr>2052-11.8.2.10337</vt:lpwstr>
  </property>
</Properties>
</file>