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83C6" w14:textId="78691BBD" w:rsidR="001A263F" w:rsidRPr="005A539B" w:rsidRDefault="00000000">
      <w:pPr>
        <w:pStyle w:val="a3"/>
        <w:kinsoku w:val="0"/>
        <w:overflowPunct w:val="0"/>
        <w:spacing w:line="537" w:lineRule="exact"/>
        <w:ind w:left="760"/>
        <w:rPr>
          <w:rFonts w:ascii="宋体" w:eastAsia="宋体" w:hAnsi="宋体"/>
          <w:w w:val="110"/>
        </w:rPr>
      </w:pPr>
      <w:r w:rsidRPr="005A539B">
        <w:rPr>
          <w:rFonts w:ascii="宋体" w:eastAsia="宋体" w:hAnsi="宋体" w:hint="eastAsia"/>
          <w:w w:val="110"/>
        </w:rPr>
        <w:t>附件</w:t>
      </w:r>
      <w:r w:rsidRPr="005A539B">
        <w:rPr>
          <w:rFonts w:ascii="宋体" w:eastAsia="宋体" w:hAnsi="宋体"/>
          <w:w w:val="110"/>
        </w:rPr>
        <w:t>3-1</w:t>
      </w:r>
    </w:p>
    <w:p w14:paraId="1160114F" w14:textId="77777777" w:rsidR="001A263F" w:rsidRPr="005A539B" w:rsidRDefault="001A263F">
      <w:pPr>
        <w:pStyle w:val="a3"/>
        <w:kinsoku w:val="0"/>
        <w:overflowPunct w:val="0"/>
        <w:spacing w:before="5"/>
        <w:rPr>
          <w:rFonts w:ascii="宋体" w:eastAsia="宋体" w:hAnsi="宋体"/>
          <w:sz w:val="43"/>
          <w:szCs w:val="43"/>
        </w:rPr>
      </w:pPr>
    </w:p>
    <w:p w14:paraId="2D84B707" w14:textId="77777777" w:rsidR="001A263F" w:rsidRPr="005A539B" w:rsidRDefault="00000000">
      <w:pPr>
        <w:pStyle w:val="a3"/>
        <w:kinsoku w:val="0"/>
        <w:overflowPunct w:val="0"/>
        <w:ind w:left="753"/>
        <w:rPr>
          <w:rFonts w:ascii="宋体" w:eastAsia="宋体" w:hAnsi="宋体" w:cs="方正小标宋简体"/>
          <w:b/>
          <w:bCs/>
          <w:sz w:val="44"/>
          <w:szCs w:val="44"/>
        </w:rPr>
      </w:pPr>
      <w:r w:rsidRPr="005A539B">
        <w:rPr>
          <w:rFonts w:ascii="宋体" w:eastAsia="宋体" w:hAnsi="宋体" w:cs="方正小标宋简体" w:hint="eastAsia"/>
          <w:b/>
          <w:bCs/>
          <w:sz w:val="44"/>
          <w:szCs w:val="44"/>
        </w:rPr>
        <w:t>深圳市建设工程规划许可证豁免清单</w:t>
      </w:r>
    </w:p>
    <w:p w14:paraId="576E4B47" w14:textId="77777777" w:rsidR="001A263F" w:rsidRPr="005A539B" w:rsidRDefault="001A263F">
      <w:pPr>
        <w:pStyle w:val="a3"/>
        <w:kinsoku w:val="0"/>
        <w:overflowPunct w:val="0"/>
        <w:spacing w:before="16"/>
        <w:rPr>
          <w:rFonts w:ascii="宋体" w:eastAsia="宋体" w:hAnsi="宋体" w:cs="方正小标宋简体"/>
          <w:sz w:val="26"/>
          <w:szCs w:val="26"/>
        </w:rPr>
      </w:pPr>
    </w:p>
    <w:p w14:paraId="3D4AC46D" w14:textId="77777777" w:rsidR="001A263F" w:rsidRPr="005A539B" w:rsidRDefault="00000000">
      <w:pPr>
        <w:pStyle w:val="a3"/>
        <w:kinsoku w:val="0"/>
        <w:overflowPunct w:val="0"/>
        <w:spacing w:line="590" w:lineRule="exact"/>
        <w:ind w:left="760"/>
        <w:rPr>
          <w:rFonts w:ascii="宋体" w:eastAsia="宋体" w:hAnsi="宋体"/>
          <w:b/>
          <w:bCs/>
        </w:rPr>
      </w:pPr>
      <w:r w:rsidRPr="005A539B">
        <w:rPr>
          <w:rFonts w:ascii="宋体" w:eastAsia="宋体" w:hAnsi="宋体" w:hint="eastAsia"/>
          <w:b/>
          <w:bCs/>
        </w:rPr>
        <w:t>一、免于办理《建设工程规划许可证》的情形</w:t>
      </w:r>
    </w:p>
    <w:p w14:paraId="785E5712" w14:textId="77777777" w:rsidR="001A263F" w:rsidRPr="005A539B" w:rsidRDefault="00000000">
      <w:pPr>
        <w:pStyle w:val="a3"/>
        <w:kinsoku w:val="0"/>
        <w:overflowPunct w:val="0"/>
        <w:spacing w:line="578" w:lineRule="exact"/>
        <w:ind w:left="760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1.</w:t>
      </w:r>
      <w:r w:rsidRPr="005A539B">
        <w:rPr>
          <w:rFonts w:ascii="宋体" w:eastAsia="宋体" w:hAnsi="宋体" w:hint="eastAsia"/>
        </w:rPr>
        <w:t>既有非居住房屋按规定改建保障性租赁住房。</w:t>
      </w:r>
    </w:p>
    <w:p w14:paraId="563F46B2" w14:textId="77777777" w:rsidR="001A263F" w:rsidRPr="005A539B" w:rsidRDefault="00000000">
      <w:pPr>
        <w:pStyle w:val="a3"/>
        <w:kinsoku w:val="0"/>
        <w:overflowPunct w:val="0"/>
        <w:spacing w:line="578" w:lineRule="exact"/>
        <w:ind w:left="760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2.</w:t>
      </w:r>
      <w:r w:rsidRPr="005A539B">
        <w:rPr>
          <w:rFonts w:ascii="宋体" w:eastAsia="宋体" w:hAnsi="宋体" w:hint="eastAsia"/>
        </w:rPr>
        <w:t>既有房屋按规定改建养老服务用房。</w:t>
      </w:r>
    </w:p>
    <w:p w14:paraId="54880FED" w14:textId="735A2B00" w:rsidR="001A263F" w:rsidRPr="005A539B" w:rsidRDefault="00000000">
      <w:pPr>
        <w:pStyle w:val="a3"/>
        <w:kinsoku w:val="0"/>
        <w:overflowPunct w:val="0"/>
        <w:spacing w:before="5" w:line="230" w:lineRule="auto"/>
        <w:ind w:left="120" w:right="277" w:firstLine="640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3.</w:t>
      </w:r>
      <w:r w:rsidRPr="005A539B">
        <w:rPr>
          <w:rFonts w:ascii="宋体" w:eastAsia="宋体" w:hAnsi="宋体" w:hint="eastAsia"/>
        </w:rPr>
        <w:t>不改变建筑面积、总高度、层数、外立面，且不影响建筑安全的老旧小区改造建设项目。</w:t>
      </w:r>
    </w:p>
    <w:p w14:paraId="02D7DB35" w14:textId="77777777" w:rsidR="001A263F" w:rsidRPr="005A539B" w:rsidRDefault="00000000">
      <w:pPr>
        <w:pStyle w:val="a3"/>
        <w:kinsoku w:val="0"/>
        <w:overflowPunct w:val="0"/>
        <w:spacing w:line="576" w:lineRule="exact"/>
        <w:ind w:left="760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4.</w:t>
      </w:r>
      <w:proofErr w:type="gramStart"/>
      <w:r w:rsidRPr="005A539B">
        <w:rPr>
          <w:rFonts w:ascii="宋体" w:eastAsia="宋体" w:hAnsi="宋体" w:hint="eastAsia"/>
        </w:rPr>
        <w:t>既有住宅</w:t>
      </w:r>
      <w:proofErr w:type="gramEnd"/>
      <w:r w:rsidRPr="005A539B">
        <w:rPr>
          <w:rFonts w:ascii="宋体" w:eastAsia="宋体" w:hAnsi="宋体" w:hint="eastAsia"/>
        </w:rPr>
        <w:t>按规定加装电梯。</w:t>
      </w:r>
    </w:p>
    <w:p w14:paraId="2E012725" w14:textId="65309D41" w:rsidR="001A263F" w:rsidRPr="005A539B" w:rsidRDefault="00000000">
      <w:pPr>
        <w:pStyle w:val="a3"/>
        <w:kinsoku w:val="0"/>
        <w:overflowPunct w:val="0"/>
        <w:spacing w:before="5" w:line="230" w:lineRule="auto"/>
        <w:ind w:left="120" w:right="277" w:firstLine="640"/>
        <w:jc w:val="both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5.</w:t>
      </w:r>
      <w:r w:rsidRPr="005A539B">
        <w:rPr>
          <w:rFonts w:ascii="宋体" w:eastAsia="宋体" w:hAnsi="宋体" w:hint="eastAsia"/>
        </w:rPr>
        <w:t>不改变建筑面积、总高度、层数、外立面，不影响建筑安全，且不涉及物权变动的既有房屋室内装修工程，如改变内部分隔、增设室内自动扶梯、室内电梯等；大型场馆内部为会议、展览等活动搭建的临时性建（构）筑物。</w:t>
      </w:r>
    </w:p>
    <w:p w14:paraId="7D477455" w14:textId="47330F6A" w:rsidR="001A263F" w:rsidRPr="005A539B" w:rsidRDefault="00000000">
      <w:pPr>
        <w:pStyle w:val="a3"/>
        <w:kinsoku w:val="0"/>
        <w:overflowPunct w:val="0"/>
        <w:spacing w:before="4" w:line="230" w:lineRule="auto"/>
        <w:ind w:left="120" w:right="118" w:firstLine="640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6.</w:t>
      </w:r>
      <w:r w:rsidRPr="005A539B">
        <w:rPr>
          <w:rFonts w:ascii="宋体" w:eastAsia="宋体" w:hAnsi="宋体" w:hint="eastAsia"/>
        </w:rPr>
        <w:t>既有用地红线（管理范围线）内增设体育跑道、无基础看台、公共健身器材、无上盖的游泳池、露天球场等建（构）筑物。</w:t>
      </w:r>
    </w:p>
    <w:p w14:paraId="75A1A464" w14:textId="294ABB84" w:rsidR="005B4DB3" w:rsidRPr="005A539B" w:rsidRDefault="00000000" w:rsidP="005B4DB3">
      <w:pPr>
        <w:pStyle w:val="a3"/>
        <w:kinsoku w:val="0"/>
        <w:overflowPunct w:val="0"/>
        <w:spacing w:line="533" w:lineRule="exact"/>
        <w:ind w:firstLine="720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7.</w:t>
      </w:r>
      <w:r w:rsidRPr="005A539B">
        <w:rPr>
          <w:rFonts w:ascii="宋体" w:eastAsia="宋体" w:hAnsi="宋体" w:hint="eastAsia"/>
        </w:rPr>
        <w:t>除住宅小区以外，既有用地红线范围内增设公厕、垃圾站、门卫房、公共停车棚（含自行车、电动自行车）、雨棚、水泵房、配电房、连廊、公共楼梯、室外自动扶梯等共用建筑物。</w:t>
      </w:r>
    </w:p>
    <w:p w14:paraId="6BF8733E" w14:textId="2A4D617C" w:rsidR="001A263F" w:rsidRPr="005A539B" w:rsidRDefault="00000000" w:rsidP="005B4DB3">
      <w:pPr>
        <w:pStyle w:val="a3"/>
        <w:kinsoku w:val="0"/>
        <w:overflowPunct w:val="0"/>
        <w:spacing w:before="22" w:line="249" w:lineRule="auto"/>
        <w:ind w:left="120" w:right="275" w:firstLine="600"/>
        <w:jc w:val="both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8.</w:t>
      </w:r>
      <w:r w:rsidRPr="005A539B">
        <w:rPr>
          <w:rFonts w:ascii="宋体" w:eastAsia="宋体" w:hAnsi="宋体" w:hint="eastAsia"/>
        </w:rPr>
        <w:t>既有用地红线范围内增设小型雕塑和景观小品、不计</w:t>
      </w:r>
    </w:p>
    <w:p w14:paraId="0F4B94B1" w14:textId="048AA4C4" w:rsidR="005B4DB3" w:rsidRPr="005A539B" w:rsidRDefault="00000000" w:rsidP="005B4DB3">
      <w:pPr>
        <w:pStyle w:val="a3"/>
        <w:kinsoku w:val="0"/>
        <w:overflowPunct w:val="0"/>
        <w:spacing w:before="6" w:line="230" w:lineRule="auto"/>
        <w:ind w:left="120" w:right="277"/>
        <w:rPr>
          <w:rFonts w:ascii="宋体" w:eastAsia="宋体" w:hAnsi="宋体"/>
        </w:rPr>
      </w:pPr>
      <w:r w:rsidRPr="005A539B">
        <w:rPr>
          <w:rFonts w:ascii="宋体" w:eastAsia="宋体" w:hAnsi="宋体" w:hint="eastAsia"/>
        </w:rPr>
        <w:t>建筑面积的大门、化粪池、污水池、消防水池、隔油池、隔水池等共用构筑物。</w:t>
      </w:r>
    </w:p>
    <w:p w14:paraId="1342A095" w14:textId="45455145" w:rsidR="001A263F" w:rsidRPr="005A539B" w:rsidRDefault="00000000" w:rsidP="005B4DB3">
      <w:pPr>
        <w:pStyle w:val="a3"/>
        <w:kinsoku w:val="0"/>
        <w:overflowPunct w:val="0"/>
        <w:spacing w:before="6" w:line="230" w:lineRule="auto"/>
        <w:ind w:left="120" w:right="277" w:firstLine="600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9.</w:t>
      </w:r>
      <w:r w:rsidRPr="005A539B">
        <w:rPr>
          <w:rFonts w:ascii="宋体" w:eastAsia="宋体" w:hAnsi="宋体" w:hint="eastAsia"/>
        </w:rPr>
        <w:t>公园、绿地、绿道、碧道、古驿道用地范围内按规定增设配套基础设施和公共服务设施。</w:t>
      </w:r>
    </w:p>
    <w:p w14:paraId="7E173756" w14:textId="77777777" w:rsidR="001A263F" w:rsidRPr="005A539B" w:rsidRDefault="00000000">
      <w:pPr>
        <w:pStyle w:val="a3"/>
        <w:kinsoku w:val="0"/>
        <w:overflowPunct w:val="0"/>
        <w:spacing w:before="22" w:line="249" w:lineRule="auto"/>
        <w:ind w:left="120" w:right="275" w:firstLine="640"/>
        <w:jc w:val="both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10.</w:t>
      </w:r>
      <w:r w:rsidRPr="005A539B">
        <w:rPr>
          <w:rFonts w:ascii="宋体" w:eastAsia="宋体" w:hAnsi="宋体" w:hint="eastAsia"/>
        </w:rPr>
        <w:t>既有河道、水库管理范围线内，在不改变原地类的情况下建设配电房、照明设施、取水塔、巡查道路、闸室交通桥、引水设施、放水隧洞及配套闸室、闸室启闭机房等小型配套设施。</w:t>
      </w:r>
    </w:p>
    <w:p w14:paraId="5BB2DBD2" w14:textId="61940EDC" w:rsidR="001A263F" w:rsidRPr="005A539B" w:rsidRDefault="00000000">
      <w:pPr>
        <w:pStyle w:val="a3"/>
        <w:kinsoku w:val="0"/>
        <w:overflowPunct w:val="0"/>
        <w:spacing w:line="249" w:lineRule="auto"/>
        <w:ind w:left="120" w:right="277" w:firstLine="640"/>
        <w:jc w:val="both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11.</w:t>
      </w:r>
      <w:r w:rsidRPr="005A539B">
        <w:rPr>
          <w:rFonts w:ascii="宋体" w:eastAsia="宋体" w:hAnsi="宋体" w:hint="eastAsia"/>
        </w:rPr>
        <w:t>溢洪道、大坝、堤岸、管线、放水涵闸的维修加固</w:t>
      </w:r>
      <w:r w:rsidRPr="005A539B">
        <w:rPr>
          <w:rFonts w:ascii="宋体" w:eastAsia="宋体" w:hAnsi="宋体" w:hint="eastAsia"/>
        </w:rPr>
        <w:lastRenderedPageBreak/>
        <w:t>工程；在不改变原地类的情况下在溢洪道、河道范围内增加消力设施。</w:t>
      </w:r>
    </w:p>
    <w:p w14:paraId="77A7F19C" w14:textId="7C56A3E5" w:rsidR="001A263F" w:rsidRPr="005A539B" w:rsidRDefault="00000000">
      <w:pPr>
        <w:pStyle w:val="a3"/>
        <w:kinsoku w:val="0"/>
        <w:overflowPunct w:val="0"/>
        <w:spacing w:line="249" w:lineRule="auto"/>
        <w:ind w:left="120" w:right="275" w:firstLine="640"/>
        <w:jc w:val="both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12.</w:t>
      </w:r>
      <w:r w:rsidRPr="005A539B">
        <w:rPr>
          <w:rFonts w:ascii="宋体" w:eastAsia="宋体" w:hAnsi="宋体" w:hint="eastAsia"/>
        </w:rPr>
        <w:t>装设通信设施、无线电发射设施、非经营性小型分布式光伏设施、供电开关箱、箱式变压器、</w:t>
      </w:r>
      <w:r w:rsidRPr="005A539B">
        <w:rPr>
          <w:rFonts w:ascii="宋体" w:eastAsia="宋体" w:hAnsi="宋体"/>
        </w:rPr>
        <w:t>5G</w:t>
      </w:r>
      <w:r w:rsidRPr="005A539B">
        <w:rPr>
          <w:rFonts w:ascii="宋体" w:eastAsia="宋体" w:hAnsi="宋体" w:hint="eastAsia"/>
        </w:rPr>
        <w:t>通讯塔基、多功能智能杆等建设项目。</w:t>
      </w:r>
    </w:p>
    <w:p w14:paraId="00ECE436" w14:textId="77777777" w:rsidR="001A263F" w:rsidRPr="005A539B" w:rsidRDefault="00000000">
      <w:pPr>
        <w:pStyle w:val="a3"/>
        <w:kinsoku w:val="0"/>
        <w:overflowPunct w:val="0"/>
        <w:spacing w:line="249" w:lineRule="auto"/>
        <w:ind w:left="120" w:right="277" w:firstLine="640"/>
        <w:jc w:val="both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13.</w:t>
      </w:r>
      <w:r w:rsidRPr="005A539B">
        <w:rPr>
          <w:rFonts w:ascii="宋体" w:eastAsia="宋体" w:hAnsi="宋体" w:hint="eastAsia"/>
        </w:rPr>
        <w:t>因抢险救灾、疫情防控等急需临时先行使用土地的建设项目。</w:t>
      </w:r>
    </w:p>
    <w:p w14:paraId="1AFBACE2" w14:textId="31E0BCC5" w:rsidR="001A263F" w:rsidRPr="005A539B" w:rsidRDefault="00000000">
      <w:pPr>
        <w:pStyle w:val="a3"/>
        <w:kinsoku w:val="0"/>
        <w:overflowPunct w:val="0"/>
        <w:spacing w:line="249" w:lineRule="auto"/>
        <w:ind w:left="120" w:right="265" w:firstLine="640"/>
        <w:jc w:val="both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14.</w:t>
      </w:r>
      <w:r w:rsidRPr="005A539B">
        <w:rPr>
          <w:rFonts w:ascii="宋体" w:eastAsia="宋体" w:hAnsi="宋体" w:hint="eastAsia"/>
        </w:rPr>
        <w:t>《房屋建筑面积测绘技术规范》（</w:t>
      </w:r>
      <w:r w:rsidRPr="005A539B">
        <w:rPr>
          <w:rFonts w:ascii="宋体" w:eastAsia="宋体" w:hAnsi="宋体"/>
        </w:rPr>
        <w:t>SZJG22-2015</w:t>
      </w:r>
      <w:r w:rsidRPr="005A539B">
        <w:rPr>
          <w:rFonts w:ascii="宋体" w:eastAsia="宋体" w:hAnsi="宋体" w:hint="eastAsia"/>
        </w:rPr>
        <w:t>）</w:t>
      </w:r>
      <w:r w:rsidRPr="005A539B">
        <w:rPr>
          <w:rFonts w:ascii="宋体" w:eastAsia="宋体" w:hAnsi="宋体"/>
        </w:rPr>
        <w:t>6.1.3</w:t>
      </w:r>
      <w:r w:rsidRPr="005A539B">
        <w:rPr>
          <w:rFonts w:ascii="宋体" w:eastAsia="宋体" w:hAnsi="宋体" w:hint="eastAsia"/>
        </w:rPr>
        <w:t>条中部分不计算建筑面积的设施，包括突出房屋墙面的无柱雨棚，活动房屋、独立烟囱、亭、塔、罐、池，用于检修、消防的室外钢梯或爬梯。</w:t>
      </w:r>
    </w:p>
    <w:p w14:paraId="375D561A" w14:textId="552C8211" w:rsidR="001A263F" w:rsidRPr="005A539B" w:rsidRDefault="00000000" w:rsidP="005B4DB3">
      <w:pPr>
        <w:pStyle w:val="a3"/>
        <w:kinsoku w:val="0"/>
        <w:overflowPunct w:val="0"/>
        <w:spacing w:line="593" w:lineRule="exact"/>
        <w:ind w:left="760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15.</w:t>
      </w:r>
      <w:r w:rsidRPr="005A539B">
        <w:rPr>
          <w:rFonts w:ascii="宋体" w:eastAsia="宋体" w:hAnsi="宋体" w:hint="eastAsia"/>
        </w:rPr>
        <w:t>小散工程项目。</w:t>
      </w:r>
    </w:p>
    <w:p w14:paraId="76989356" w14:textId="77777777" w:rsidR="001A263F" w:rsidRPr="005A539B" w:rsidRDefault="00000000">
      <w:pPr>
        <w:pStyle w:val="a3"/>
        <w:kinsoku w:val="0"/>
        <w:overflowPunct w:val="0"/>
        <w:spacing w:line="527" w:lineRule="exact"/>
        <w:ind w:left="760"/>
        <w:rPr>
          <w:rFonts w:ascii="宋体" w:eastAsia="宋体" w:hAnsi="宋体"/>
        </w:rPr>
      </w:pPr>
      <w:r w:rsidRPr="005A539B">
        <w:rPr>
          <w:rFonts w:ascii="宋体" w:eastAsia="宋体" w:hAnsi="宋体" w:hint="eastAsia"/>
        </w:rPr>
        <w:t>二、无需办理《建设工程规划许可证》的情形</w:t>
      </w:r>
    </w:p>
    <w:p w14:paraId="56594114" w14:textId="1BFFE4C6" w:rsidR="001A263F" w:rsidRPr="005A539B" w:rsidRDefault="00000000">
      <w:pPr>
        <w:pStyle w:val="a3"/>
        <w:kinsoku w:val="0"/>
        <w:overflowPunct w:val="0"/>
        <w:spacing w:before="6" w:line="230" w:lineRule="auto"/>
        <w:ind w:left="120" w:right="277" w:firstLine="640"/>
        <w:jc w:val="both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16.</w:t>
      </w:r>
      <w:r w:rsidRPr="005A539B">
        <w:rPr>
          <w:rFonts w:ascii="宋体" w:eastAsia="宋体" w:hAnsi="宋体" w:hint="eastAsia"/>
        </w:rPr>
        <w:t>既有用地红线范围内增设成品烟囱、排风管道、空调冷却塔、垃圾（分类）收集点等设备，优质饮用水入户工程和二次供水设施提</w:t>
      </w:r>
      <w:proofErr w:type="gramStart"/>
      <w:r w:rsidRPr="005A539B">
        <w:rPr>
          <w:rFonts w:ascii="宋体" w:eastAsia="宋体" w:hAnsi="宋体" w:hint="eastAsia"/>
        </w:rPr>
        <w:t>标改造</w:t>
      </w:r>
      <w:proofErr w:type="gramEnd"/>
      <w:r w:rsidRPr="005A539B">
        <w:rPr>
          <w:rFonts w:ascii="宋体" w:eastAsia="宋体" w:hAnsi="宋体" w:hint="eastAsia"/>
        </w:rPr>
        <w:t>工程。</w:t>
      </w:r>
    </w:p>
    <w:p w14:paraId="39227967" w14:textId="77777777" w:rsidR="001A263F" w:rsidRPr="005A539B" w:rsidRDefault="00000000">
      <w:pPr>
        <w:pStyle w:val="a3"/>
        <w:kinsoku w:val="0"/>
        <w:overflowPunct w:val="0"/>
        <w:spacing w:line="548" w:lineRule="exact"/>
        <w:ind w:left="760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17.</w:t>
      </w:r>
      <w:r w:rsidRPr="005A539B">
        <w:rPr>
          <w:rFonts w:ascii="宋体" w:eastAsia="宋体" w:hAnsi="宋体" w:hint="eastAsia"/>
        </w:rPr>
        <w:t>地面露天停车设备和机械式立体停车设备。</w:t>
      </w:r>
    </w:p>
    <w:p w14:paraId="7A9835C9" w14:textId="42F84A1C" w:rsidR="001A263F" w:rsidRPr="005A539B" w:rsidRDefault="00000000">
      <w:pPr>
        <w:pStyle w:val="a3"/>
        <w:kinsoku w:val="0"/>
        <w:overflowPunct w:val="0"/>
        <w:spacing w:line="564" w:lineRule="exact"/>
        <w:ind w:left="760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18.</w:t>
      </w:r>
      <w:r w:rsidRPr="005A539B">
        <w:rPr>
          <w:rFonts w:ascii="宋体" w:eastAsia="宋体" w:hAnsi="宋体" w:hint="eastAsia"/>
        </w:rPr>
        <w:t>岗亭、保安亭、报刊亭、公交车站（亭）、</w:t>
      </w:r>
      <w:r w:rsidRPr="005A539B">
        <w:rPr>
          <w:rFonts w:ascii="宋体" w:eastAsia="宋体" w:hAnsi="宋体"/>
        </w:rPr>
        <w:t>U</w:t>
      </w:r>
      <w:r w:rsidRPr="005A539B">
        <w:rPr>
          <w:rFonts w:ascii="宋体" w:eastAsia="宋体" w:hAnsi="宋体" w:hint="eastAsia"/>
        </w:rPr>
        <w:t>站、移</w:t>
      </w:r>
    </w:p>
    <w:p w14:paraId="3C546A43" w14:textId="63040768" w:rsidR="001A263F" w:rsidRPr="005A539B" w:rsidRDefault="00000000">
      <w:pPr>
        <w:pStyle w:val="a3"/>
        <w:kinsoku w:val="0"/>
        <w:overflowPunct w:val="0"/>
        <w:spacing w:before="22" w:line="249" w:lineRule="auto"/>
        <w:ind w:left="120" w:right="275"/>
        <w:jc w:val="both"/>
        <w:rPr>
          <w:rFonts w:ascii="宋体" w:eastAsia="宋体" w:hAnsi="宋体"/>
        </w:rPr>
      </w:pPr>
      <w:r w:rsidRPr="005A539B">
        <w:rPr>
          <w:rFonts w:ascii="宋体" w:eastAsia="宋体" w:hAnsi="宋体" w:hint="eastAsia"/>
        </w:rPr>
        <w:t>动公厕、信报箱（快递柜）、自助图书馆、自助售货柜、儿童游戏设备、非机动车（含电瓶车）停车及</w:t>
      </w:r>
      <w:proofErr w:type="gramStart"/>
      <w:r w:rsidRPr="005A539B">
        <w:rPr>
          <w:rFonts w:ascii="宋体" w:eastAsia="宋体" w:hAnsi="宋体" w:hint="eastAsia"/>
        </w:rPr>
        <w:t>充换电</w:t>
      </w:r>
      <w:proofErr w:type="gramEnd"/>
      <w:r w:rsidRPr="005A539B">
        <w:rPr>
          <w:rFonts w:ascii="宋体" w:eastAsia="宋体" w:hAnsi="宋体" w:hint="eastAsia"/>
        </w:rPr>
        <w:t>设备、街道家具等共用设备。</w:t>
      </w:r>
    </w:p>
    <w:p w14:paraId="0D7D6B21" w14:textId="77777777" w:rsidR="001A263F" w:rsidRPr="005A539B" w:rsidRDefault="00000000">
      <w:pPr>
        <w:pStyle w:val="a3"/>
        <w:kinsoku w:val="0"/>
        <w:overflowPunct w:val="0"/>
        <w:spacing w:line="595" w:lineRule="exact"/>
        <w:ind w:left="760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19.</w:t>
      </w:r>
      <w:r w:rsidRPr="005A539B">
        <w:rPr>
          <w:rFonts w:ascii="宋体" w:eastAsia="宋体" w:hAnsi="宋体" w:hint="eastAsia"/>
        </w:rPr>
        <w:t>既有用地红线范围内增设新能源汽车</w:t>
      </w:r>
      <w:proofErr w:type="gramStart"/>
      <w:r w:rsidRPr="005A539B">
        <w:rPr>
          <w:rFonts w:ascii="宋体" w:eastAsia="宋体" w:hAnsi="宋体" w:hint="eastAsia"/>
        </w:rPr>
        <w:t>充换电</w:t>
      </w:r>
      <w:proofErr w:type="gramEnd"/>
      <w:r w:rsidRPr="005A539B">
        <w:rPr>
          <w:rFonts w:ascii="宋体" w:eastAsia="宋体" w:hAnsi="宋体" w:hint="eastAsia"/>
        </w:rPr>
        <w:t>设备。</w:t>
      </w:r>
    </w:p>
    <w:p w14:paraId="1F837BD9" w14:textId="2E837884" w:rsidR="001A263F" w:rsidRPr="005A539B" w:rsidRDefault="00000000">
      <w:pPr>
        <w:pStyle w:val="a3"/>
        <w:kinsoku w:val="0"/>
        <w:overflowPunct w:val="0"/>
        <w:spacing w:before="22" w:line="249" w:lineRule="auto"/>
        <w:ind w:left="120" w:right="277" w:firstLine="640"/>
        <w:jc w:val="both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20.</w:t>
      </w:r>
      <w:r w:rsidRPr="005A539B">
        <w:rPr>
          <w:rFonts w:ascii="宋体" w:eastAsia="宋体" w:hAnsi="宋体" w:hint="eastAsia"/>
        </w:rPr>
        <w:t>规划审批手续齐全的已批既有加油站、加气站、加氢站项目，按原审批内容，在不增加安全等级，满足安全、消防要求的前提下，增设储油罐、储气罐、加油枪或油罐增减容，改变储存油品类型、罐体位置等加油加气加氢设备改造工程。</w:t>
      </w:r>
    </w:p>
    <w:p w14:paraId="123309C7" w14:textId="68B4A9D3" w:rsidR="001A263F" w:rsidRPr="005A539B" w:rsidRDefault="00000000">
      <w:pPr>
        <w:pStyle w:val="a3"/>
        <w:kinsoku w:val="0"/>
        <w:overflowPunct w:val="0"/>
        <w:spacing w:line="249" w:lineRule="auto"/>
        <w:ind w:left="120" w:right="277" w:firstLine="640"/>
        <w:jc w:val="both"/>
        <w:rPr>
          <w:rFonts w:ascii="宋体" w:eastAsia="宋体" w:hAnsi="宋体"/>
        </w:rPr>
      </w:pPr>
      <w:r w:rsidRPr="005A539B">
        <w:rPr>
          <w:rFonts w:ascii="宋体" w:eastAsia="宋体" w:hAnsi="宋体" w:hint="eastAsia"/>
        </w:rPr>
        <w:t>规划审批手续齐全的已批既有危险化学品生产企业、带储存经营危险化学品企业建设项目，按原审批内容，在其用地红线范围内升级改造工业气体充装设备，新增、改造危险化学品生产、储存设备（不含大型油气储罐）。</w:t>
      </w:r>
    </w:p>
    <w:p w14:paraId="76CC561A" w14:textId="44303FDD" w:rsidR="001A263F" w:rsidRPr="005A539B" w:rsidRDefault="00000000" w:rsidP="005B4DB3">
      <w:pPr>
        <w:pStyle w:val="a3"/>
        <w:kinsoku w:val="0"/>
        <w:overflowPunct w:val="0"/>
        <w:spacing w:line="249" w:lineRule="auto"/>
        <w:ind w:left="120" w:right="321" w:firstLine="640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21.</w:t>
      </w:r>
      <w:r w:rsidRPr="005A539B">
        <w:rPr>
          <w:rFonts w:ascii="宋体" w:eastAsia="宋体" w:hAnsi="宋体" w:hint="eastAsia"/>
        </w:rPr>
        <w:t>规划审批手续齐全的已批既有变电站范围内设备技术升级、改造（变压器、无功补偿、高压电抗器、</w:t>
      </w:r>
      <w:r w:rsidRPr="005A539B">
        <w:rPr>
          <w:rFonts w:ascii="宋体" w:eastAsia="宋体" w:hAnsi="宋体"/>
        </w:rPr>
        <w:t>HGIS</w:t>
      </w:r>
      <w:r w:rsidRPr="005A539B">
        <w:rPr>
          <w:rFonts w:ascii="宋体" w:eastAsia="宋体" w:hAnsi="宋体" w:hint="eastAsia"/>
        </w:rPr>
        <w:t>、</w:t>
      </w:r>
      <w:r w:rsidRPr="005A539B">
        <w:rPr>
          <w:rFonts w:ascii="宋体" w:eastAsia="宋体" w:hAnsi="宋体" w:hint="eastAsia"/>
        </w:rPr>
        <w:lastRenderedPageBreak/>
        <w:t>母线、开关间隔等）工程。规划审批手续齐全的已批既有电力架空输电线路塔基（基础）及附属设备的技术升级改造、加固工程，以及电缆管沟的维修加固工程。</w:t>
      </w:r>
    </w:p>
    <w:p w14:paraId="18101603" w14:textId="0A0EE4B8" w:rsidR="001A263F" w:rsidRPr="005A539B" w:rsidRDefault="00000000">
      <w:pPr>
        <w:pStyle w:val="a3"/>
        <w:kinsoku w:val="0"/>
        <w:overflowPunct w:val="0"/>
        <w:spacing w:before="62" w:line="216" w:lineRule="auto"/>
        <w:ind w:left="120" w:right="275" w:firstLine="640"/>
        <w:jc w:val="both"/>
        <w:rPr>
          <w:rFonts w:ascii="宋体" w:eastAsia="宋体" w:hAnsi="宋体"/>
        </w:rPr>
      </w:pPr>
      <w:r w:rsidRPr="005A539B">
        <w:rPr>
          <w:rFonts w:ascii="宋体" w:eastAsia="宋体" w:hAnsi="宋体"/>
        </w:rPr>
        <w:t>22.</w:t>
      </w:r>
      <w:r w:rsidRPr="005A539B">
        <w:rPr>
          <w:rFonts w:ascii="宋体" w:eastAsia="宋体" w:hAnsi="宋体" w:hint="eastAsia"/>
        </w:rPr>
        <w:t>既有用地红线（管理范围线）内不增加建筑面积、不影响城市景观和他</w:t>
      </w:r>
      <w:proofErr w:type="gramStart"/>
      <w:r w:rsidRPr="005A539B">
        <w:rPr>
          <w:rFonts w:ascii="宋体" w:eastAsia="宋体" w:hAnsi="宋体" w:hint="eastAsia"/>
        </w:rPr>
        <w:t>人物权</w:t>
      </w:r>
      <w:proofErr w:type="gramEnd"/>
      <w:r w:rsidRPr="005A539B">
        <w:rPr>
          <w:rFonts w:ascii="宋体" w:eastAsia="宋体" w:hAnsi="宋体" w:hint="eastAsia"/>
        </w:rPr>
        <w:t>的绿化工程。既有房屋屋顶绿化美化工程。</w:t>
      </w:r>
    </w:p>
    <w:p w14:paraId="228FC3A6" w14:textId="343347FF" w:rsidR="00A63BAB" w:rsidRPr="005A539B" w:rsidRDefault="00A63BAB">
      <w:pPr>
        <w:pStyle w:val="a3"/>
        <w:kinsoku w:val="0"/>
        <w:overflowPunct w:val="0"/>
        <w:spacing w:before="89"/>
        <w:ind w:left="120"/>
        <w:rPr>
          <w:rFonts w:ascii="宋体" w:eastAsia="宋体" w:hAnsi="宋体" w:cs="Times New Roman"/>
          <w:sz w:val="28"/>
          <w:szCs w:val="28"/>
        </w:rPr>
      </w:pPr>
    </w:p>
    <w:sectPr w:rsidR="00A63BAB" w:rsidRPr="005A539B">
      <w:pgSz w:w="11910" w:h="16840"/>
      <w:pgMar w:top="1480" w:right="152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E0"/>
    <w:rsid w:val="001328E0"/>
    <w:rsid w:val="001A263F"/>
    <w:rsid w:val="005A539B"/>
    <w:rsid w:val="005B4DB3"/>
    <w:rsid w:val="00A6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BB643D"/>
  <w14:defaultImageDpi w14:val="0"/>
  <w15:docId w15:val="{812705FC-3377-4BA2-BBBB-4A83B4B4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 Unicode MS" w:eastAsia="Arial Unicode MS" w:hAnsi="Times New Roman" w:cs="Arial Unicode MS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正文文本 字符"/>
    <w:basedOn w:val="a0"/>
    <w:link w:val="a3"/>
    <w:uiPriority w:val="99"/>
    <w:semiHidden/>
    <w:rPr>
      <w:rFonts w:ascii="Arial Unicode MS" w:eastAsia="Arial Unicode MS" w:hAnsi="Times New Roman" w:cs="Arial Unicode MS"/>
      <w:kern w:val="0"/>
      <w:sz w:val="22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FZ</cp:lastModifiedBy>
  <cp:revision>4</cp:revision>
  <dcterms:created xsi:type="dcterms:W3CDTF">2024-04-11T03:51:00Z</dcterms:created>
  <dcterms:modified xsi:type="dcterms:W3CDTF">2024-04-11T04:02:00Z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</Properties>
</file>