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0469" w14:textId="77777777" w:rsidR="001937FF" w:rsidRPr="001937FF" w:rsidRDefault="001937FF" w:rsidP="001937FF">
      <w:pPr>
        <w:keepNext/>
        <w:keepLines/>
        <w:spacing w:line="580" w:lineRule="exact"/>
        <w:ind w:firstLineChars="200" w:firstLine="640"/>
        <w:jc w:val="center"/>
        <w:outlineLvl w:val="1"/>
        <w:rPr>
          <w:rFonts w:ascii="等线 Light" w:eastAsia="黑体" w:hAnsi="等线 Light" w:cs="Times New Roman" w:hint="eastAsia"/>
          <w:bCs/>
          <w:sz w:val="32"/>
          <w:szCs w:val="32"/>
        </w:rPr>
      </w:pPr>
      <w:r w:rsidRPr="001937FF">
        <w:rPr>
          <w:rFonts w:ascii="等线 Light" w:eastAsia="黑体" w:hAnsi="等线 Light" w:cs="Times New Roman" w:hint="eastAsia"/>
          <w:bCs/>
          <w:sz w:val="32"/>
          <w:szCs w:val="32"/>
        </w:rPr>
        <w:t>三、社会公众意见处理表（收到</w:t>
      </w:r>
      <w:r w:rsidRPr="001937FF">
        <w:rPr>
          <w:rFonts w:ascii="等线 Light" w:eastAsia="黑体" w:hAnsi="等线 Light" w:cs="Times New Roman" w:hint="eastAsia"/>
          <w:bCs/>
          <w:sz w:val="32"/>
          <w:szCs w:val="32"/>
        </w:rPr>
        <w:t>16</w:t>
      </w:r>
      <w:r w:rsidRPr="001937FF">
        <w:rPr>
          <w:rFonts w:ascii="等线 Light" w:eastAsia="黑体" w:hAnsi="等线 Light" w:cs="Times New Roman" w:hint="eastAsia"/>
          <w:bCs/>
          <w:sz w:val="32"/>
          <w:szCs w:val="32"/>
        </w:rPr>
        <w:t>条反馈意见，采纳</w:t>
      </w:r>
      <w:r w:rsidRPr="001937FF">
        <w:rPr>
          <w:rFonts w:ascii="等线 Light" w:eastAsia="黑体" w:hAnsi="等线 Light" w:cs="Times New Roman" w:hint="eastAsia"/>
          <w:bCs/>
          <w:sz w:val="32"/>
          <w:szCs w:val="32"/>
        </w:rPr>
        <w:t>6</w:t>
      </w:r>
      <w:r w:rsidRPr="001937FF">
        <w:rPr>
          <w:rFonts w:ascii="等线 Light" w:eastAsia="黑体" w:hAnsi="等线 Light" w:cs="Times New Roman" w:hint="eastAsia"/>
          <w:bCs/>
          <w:sz w:val="32"/>
          <w:szCs w:val="32"/>
        </w:rPr>
        <w:t>条，部分采纳</w:t>
      </w:r>
      <w:r w:rsidRPr="001937FF">
        <w:rPr>
          <w:rFonts w:ascii="等线 Light" w:eastAsia="黑体" w:hAnsi="等线 Light" w:cs="Times New Roman" w:hint="eastAsia"/>
          <w:bCs/>
          <w:sz w:val="32"/>
          <w:szCs w:val="32"/>
        </w:rPr>
        <w:t>3</w:t>
      </w:r>
      <w:r w:rsidRPr="001937FF">
        <w:rPr>
          <w:rFonts w:ascii="等线 Light" w:eastAsia="黑体" w:hAnsi="等线 Light" w:cs="Times New Roman" w:hint="eastAsia"/>
          <w:bCs/>
          <w:sz w:val="32"/>
          <w:szCs w:val="32"/>
        </w:rPr>
        <w:t>条，解释说明</w:t>
      </w:r>
      <w:r w:rsidRPr="001937FF">
        <w:rPr>
          <w:rFonts w:ascii="等线 Light" w:eastAsia="黑体" w:hAnsi="等线 Light" w:cs="Times New Roman" w:hint="eastAsia"/>
          <w:bCs/>
          <w:sz w:val="32"/>
          <w:szCs w:val="32"/>
        </w:rPr>
        <w:t>7</w:t>
      </w:r>
      <w:r w:rsidRPr="001937FF">
        <w:rPr>
          <w:rFonts w:ascii="等线 Light" w:eastAsia="黑体" w:hAnsi="等线 Light" w:cs="Times New Roman" w:hint="eastAsia"/>
          <w:bCs/>
          <w:sz w:val="32"/>
          <w:szCs w:val="32"/>
        </w:rPr>
        <w:t>条）</w:t>
      </w:r>
    </w:p>
    <w:tbl>
      <w:tblPr>
        <w:tblW w:w="5000" w:type="pct"/>
        <w:tblLook w:val="04A0" w:firstRow="1" w:lastRow="0" w:firstColumn="1" w:lastColumn="0" w:noHBand="0" w:noVBand="1"/>
      </w:tblPr>
      <w:tblGrid>
        <w:gridCol w:w="904"/>
        <w:gridCol w:w="14676"/>
        <w:gridCol w:w="2001"/>
        <w:gridCol w:w="1119"/>
        <w:gridCol w:w="3664"/>
      </w:tblGrid>
      <w:tr w:rsidR="001937FF" w:rsidRPr="001937FF" w14:paraId="6A95BAA3" w14:textId="77777777" w:rsidTr="009F3759">
        <w:trPr>
          <w:trHeight w:val="285"/>
          <w:tblHeader/>
        </w:trPr>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0081C" w14:textId="77777777" w:rsidR="001937FF" w:rsidRPr="001937FF" w:rsidRDefault="001937FF" w:rsidP="001937FF">
            <w:pPr>
              <w:widowControl/>
              <w:jc w:val="center"/>
              <w:textAlignment w:val="center"/>
              <w:rPr>
                <w:rFonts w:ascii="仿宋_GB2312" w:eastAsia="仿宋_GB2312" w:hAnsi="仿宋_GB2312" w:cs="仿宋_GB2312"/>
                <w:b/>
                <w:bCs/>
                <w:color w:val="000000"/>
                <w:kern w:val="0"/>
                <w:szCs w:val="21"/>
                <w:lang w:bidi="ar"/>
              </w:rPr>
            </w:pPr>
            <w:r w:rsidRPr="001937FF">
              <w:rPr>
                <w:rFonts w:ascii="仿宋_GB2312" w:eastAsia="仿宋_GB2312" w:hAnsi="仿宋_GB2312" w:cs="仿宋_GB2312"/>
                <w:b/>
                <w:bCs/>
                <w:color w:val="000000"/>
                <w:kern w:val="0"/>
                <w:szCs w:val="21"/>
                <w:lang w:bidi="ar"/>
              </w:rPr>
              <w:t>序号</w:t>
            </w:r>
          </w:p>
        </w:tc>
        <w:tc>
          <w:tcPr>
            <w:tcW w:w="3291" w:type="pct"/>
            <w:tcBorders>
              <w:top w:val="single" w:sz="4" w:space="0" w:color="auto"/>
              <w:left w:val="nil"/>
              <w:bottom w:val="single" w:sz="4" w:space="0" w:color="auto"/>
              <w:right w:val="single" w:sz="4" w:space="0" w:color="auto"/>
            </w:tcBorders>
            <w:shd w:val="clear" w:color="auto" w:fill="auto"/>
            <w:vAlign w:val="center"/>
            <w:hideMark/>
          </w:tcPr>
          <w:p w14:paraId="79D3FD73" w14:textId="77777777" w:rsidR="001937FF" w:rsidRPr="001937FF" w:rsidRDefault="001937FF" w:rsidP="001937FF">
            <w:pPr>
              <w:widowControl/>
              <w:jc w:val="center"/>
              <w:textAlignment w:val="center"/>
              <w:rPr>
                <w:rFonts w:ascii="仿宋_GB2312" w:eastAsia="仿宋_GB2312" w:hAnsi="仿宋_GB2312" w:cs="仿宋_GB2312"/>
                <w:b/>
                <w:bCs/>
                <w:color w:val="000000"/>
                <w:kern w:val="0"/>
                <w:szCs w:val="21"/>
                <w:lang w:bidi="ar"/>
              </w:rPr>
            </w:pPr>
            <w:r w:rsidRPr="001937FF">
              <w:rPr>
                <w:rFonts w:ascii="仿宋_GB2312" w:eastAsia="仿宋_GB2312" w:hAnsi="仿宋_GB2312" w:cs="仿宋_GB2312"/>
                <w:b/>
                <w:bCs/>
                <w:color w:val="000000"/>
                <w:kern w:val="0"/>
                <w:szCs w:val="21"/>
                <w:lang w:bidi="ar"/>
              </w:rPr>
              <w:t>反馈意见及建议</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54AF1877" w14:textId="77777777" w:rsidR="001937FF" w:rsidRPr="001937FF" w:rsidRDefault="001937FF" w:rsidP="001937FF">
            <w:pPr>
              <w:widowControl/>
              <w:jc w:val="center"/>
              <w:textAlignment w:val="center"/>
              <w:rPr>
                <w:rFonts w:ascii="仿宋_GB2312" w:eastAsia="仿宋_GB2312" w:hAnsi="仿宋_GB2312" w:cs="仿宋_GB2312"/>
                <w:b/>
                <w:bCs/>
                <w:color w:val="000000"/>
                <w:kern w:val="0"/>
                <w:szCs w:val="21"/>
                <w:lang w:bidi="ar"/>
              </w:rPr>
            </w:pPr>
            <w:r w:rsidRPr="001937FF">
              <w:rPr>
                <w:rFonts w:ascii="仿宋_GB2312" w:eastAsia="仿宋_GB2312" w:hAnsi="仿宋_GB2312" w:cs="仿宋_GB2312"/>
                <w:b/>
                <w:bCs/>
                <w:color w:val="000000"/>
                <w:kern w:val="0"/>
                <w:szCs w:val="21"/>
                <w:lang w:bidi="ar"/>
              </w:rPr>
              <w:t>反馈部门</w:t>
            </w:r>
          </w:p>
        </w:tc>
        <w:tc>
          <w:tcPr>
            <w:tcW w:w="260" w:type="pct"/>
            <w:tcBorders>
              <w:top w:val="single" w:sz="4" w:space="0" w:color="auto"/>
              <w:left w:val="nil"/>
              <w:bottom w:val="single" w:sz="4" w:space="0" w:color="auto"/>
              <w:right w:val="single" w:sz="4" w:space="0" w:color="auto"/>
            </w:tcBorders>
            <w:shd w:val="clear" w:color="auto" w:fill="auto"/>
            <w:vAlign w:val="center"/>
            <w:hideMark/>
          </w:tcPr>
          <w:p w14:paraId="5C4A7874" w14:textId="77777777" w:rsidR="001937FF" w:rsidRPr="001937FF" w:rsidRDefault="001937FF" w:rsidP="001937FF">
            <w:pPr>
              <w:widowControl/>
              <w:jc w:val="center"/>
              <w:textAlignment w:val="center"/>
              <w:rPr>
                <w:rFonts w:ascii="仿宋_GB2312" w:eastAsia="仿宋_GB2312" w:hAnsi="仿宋_GB2312" w:cs="仿宋_GB2312"/>
                <w:b/>
                <w:bCs/>
                <w:color w:val="000000"/>
                <w:kern w:val="0"/>
                <w:szCs w:val="21"/>
                <w:lang w:bidi="ar"/>
              </w:rPr>
            </w:pPr>
            <w:r w:rsidRPr="001937FF">
              <w:rPr>
                <w:rFonts w:ascii="仿宋_GB2312" w:eastAsia="仿宋_GB2312" w:hAnsi="仿宋_GB2312" w:cs="仿宋_GB2312"/>
                <w:b/>
                <w:bCs/>
                <w:color w:val="000000"/>
                <w:kern w:val="0"/>
                <w:szCs w:val="21"/>
                <w:lang w:bidi="ar"/>
              </w:rPr>
              <w:t>采纳情况</w:t>
            </w:r>
          </w:p>
        </w:tc>
        <w:tc>
          <w:tcPr>
            <w:tcW w:w="829" w:type="pct"/>
            <w:tcBorders>
              <w:top w:val="single" w:sz="4" w:space="0" w:color="auto"/>
              <w:left w:val="nil"/>
              <w:bottom w:val="single" w:sz="4" w:space="0" w:color="auto"/>
              <w:right w:val="single" w:sz="4" w:space="0" w:color="auto"/>
            </w:tcBorders>
            <w:shd w:val="clear" w:color="auto" w:fill="auto"/>
            <w:vAlign w:val="center"/>
            <w:hideMark/>
          </w:tcPr>
          <w:p w14:paraId="2FFBD135" w14:textId="77777777" w:rsidR="001937FF" w:rsidRPr="001937FF" w:rsidRDefault="001937FF" w:rsidP="001937FF">
            <w:pPr>
              <w:widowControl/>
              <w:jc w:val="center"/>
              <w:textAlignment w:val="center"/>
              <w:rPr>
                <w:rFonts w:ascii="仿宋_GB2312" w:eastAsia="仿宋_GB2312" w:hAnsi="仿宋_GB2312" w:cs="仿宋_GB2312"/>
                <w:b/>
                <w:bCs/>
                <w:color w:val="000000"/>
                <w:kern w:val="0"/>
                <w:szCs w:val="21"/>
                <w:lang w:bidi="ar"/>
              </w:rPr>
            </w:pPr>
            <w:r w:rsidRPr="001937FF">
              <w:rPr>
                <w:rFonts w:ascii="仿宋_GB2312" w:eastAsia="仿宋_GB2312" w:hAnsi="仿宋_GB2312" w:cs="仿宋_GB2312"/>
                <w:b/>
                <w:bCs/>
                <w:color w:val="000000"/>
                <w:kern w:val="0"/>
                <w:szCs w:val="21"/>
                <w:lang w:bidi="ar"/>
              </w:rPr>
              <w:t>解释说明</w:t>
            </w:r>
          </w:p>
        </w:tc>
      </w:tr>
      <w:tr w:rsidR="001937FF" w:rsidRPr="001937FF" w14:paraId="573F07D7" w14:textId="77777777" w:rsidTr="009F3759">
        <w:trPr>
          <w:trHeight w:val="765"/>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0D25FDFF"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1</w:t>
            </w:r>
          </w:p>
        </w:tc>
        <w:tc>
          <w:tcPr>
            <w:tcW w:w="3291" w:type="pct"/>
            <w:tcBorders>
              <w:top w:val="nil"/>
              <w:left w:val="nil"/>
              <w:bottom w:val="single" w:sz="4" w:space="0" w:color="auto"/>
              <w:right w:val="single" w:sz="4" w:space="0" w:color="auto"/>
            </w:tcBorders>
            <w:shd w:val="clear" w:color="auto" w:fill="auto"/>
            <w:vAlign w:val="center"/>
            <w:hideMark/>
          </w:tcPr>
          <w:p w14:paraId="058DE001"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建议将文件名及条款中“扶持实体经济发展”的表述进行删除。理由：实体经济内涵丰富，包括物质的、精神的产品和服务的生产、流通等经济活动。包括农业、工业、交通通信业、商业服务业、建筑业、房地产业、文化产业等物质生产和服务。也包括教育、文化、知识、信息、艺术、体育等精神产品的生产和服务，在此单指扶持工业、物流</w:t>
            </w:r>
            <w:proofErr w:type="gramStart"/>
            <w:r w:rsidRPr="001937FF">
              <w:rPr>
                <w:rFonts w:ascii="仿宋_GB2312" w:eastAsia="仿宋_GB2312" w:hAnsi="仿宋_GB2312" w:cs="仿宋_GB2312"/>
                <w:color w:val="000000"/>
                <w:kern w:val="0"/>
                <w:szCs w:val="21"/>
                <w:lang w:bidi="ar"/>
              </w:rPr>
              <w:t>类似乎</w:t>
            </w:r>
            <w:proofErr w:type="gramEnd"/>
            <w:r w:rsidRPr="001937FF">
              <w:rPr>
                <w:rFonts w:ascii="仿宋_GB2312" w:eastAsia="仿宋_GB2312" w:hAnsi="仿宋_GB2312" w:cs="仿宋_GB2312"/>
                <w:color w:val="000000"/>
                <w:kern w:val="0"/>
                <w:szCs w:val="21"/>
                <w:lang w:bidi="ar"/>
              </w:rPr>
              <w:t>不妥。另外此规定主要是工业物流等产业</w:t>
            </w:r>
            <w:proofErr w:type="gramStart"/>
            <w:r w:rsidRPr="001937FF">
              <w:rPr>
                <w:rFonts w:ascii="仿宋_GB2312" w:eastAsia="仿宋_GB2312" w:hAnsi="仿宋_GB2312" w:cs="仿宋_GB2312"/>
                <w:color w:val="000000"/>
                <w:kern w:val="0"/>
                <w:szCs w:val="21"/>
                <w:lang w:bidi="ar"/>
              </w:rPr>
              <w:t>用地用地</w:t>
            </w:r>
            <w:proofErr w:type="gramEnd"/>
            <w:r w:rsidRPr="001937FF">
              <w:rPr>
                <w:rFonts w:ascii="仿宋_GB2312" w:eastAsia="仿宋_GB2312" w:hAnsi="仿宋_GB2312" w:cs="仿宋_GB2312"/>
                <w:color w:val="000000"/>
                <w:kern w:val="0"/>
                <w:szCs w:val="21"/>
                <w:lang w:bidi="ar"/>
              </w:rPr>
              <w:t>调整，故建议标题改为深圳市关于产业用地节约集约利用容积率调整的管理规定</w:t>
            </w:r>
          </w:p>
        </w:tc>
        <w:tc>
          <w:tcPr>
            <w:tcW w:w="408" w:type="pct"/>
            <w:tcBorders>
              <w:top w:val="nil"/>
              <w:left w:val="nil"/>
              <w:bottom w:val="single" w:sz="4" w:space="0" w:color="auto"/>
              <w:right w:val="single" w:sz="4" w:space="0" w:color="auto"/>
            </w:tcBorders>
            <w:shd w:val="clear" w:color="auto" w:fill="auto"/>
            <w:vAlign w:val="center"/>
            <w:hideMark/>
          </w:tcPr>
          <w:p w14:paraId="2ED73AF7"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卢先生</w:t>
            </w:r>
          </w:p>
        </w:tc>
        <w:tc>
          <w:tcPr>
            <w:tcW w:w="260" w:type="pct"/>
            <w:tcBorders>
              <w:top w:val="nil"/>
              <w:left w:val="nil"/>
              <w:bottom w:val="nil"/>
              <w:right w:val="single" w:sz="4" w:space="0" w:color="auto"/>
            </w:tcBorders>
            <w:shd w:val="clear" w:color="auto" w:fill="auto"/>
            <w:vAlign w:val="center"/>
            <w:hideMark/>
          </w:tcPr>
          <w:p w14:paraId="11FDDCD7"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解释</w:t>
            </w:r>
          </w:p>
        </w:tc>
        <w:tc>
          <w:tcPr>
            <w:tcW w:w="829" w:type="pct"/>
            <w:tcBorders>
              <w:top w:val="nil"/>
              <w:left w:val="nil"/>
              <w:bottom w:val="nil"/>
              <w:right w:val="single" w:sz="4" w:space="0" w:color="auto"/>
            </w:tcBorders>
            <w:shd w:val="clear" w:color="auto" w:fill="auto"/>
            <w:vAlign w:val="center"/>
            <w:hideMark/>
          </w:tcPr>
          <w:p w14:paraId="530DE60B"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本通知主要是对存量产业</w:t>
            </w:r>
            <w:proofErr w:type="gramStart"/>
            <w:r w:rsidRPr="001937FF">
              <w:rPr>
                <w:rFonts w:ascii="仿宋_GB2312" w:eastAsia="仿宋_GB2312" w:hAnsi="仿宋_GB2312" w:cs="仿宋_GB2312"/>
                <w:color w:val="000000"/>
                <w:kern w:val="0"/>
                <w:szCs w:val="21"/>
                <w:lang w:bidi="ar"/>
              </w:rPr>
              <w:t>用地提容增建</w:t>
            </w:r>
            <w:proofErr w:type="gramEnd"/>
            <w:r w:rsidRPr="001937FF">
              <w:rPr>
                <w:rFonts w:ascii="仿宋_GB2312" w:eastAsia="仿宋_GB2312" w:hAnsi="仿宋_GB2312" w:cs="仿宋_GB2312"/>
                <w:color w:val="000000"/>
                <w:kern w:val="0"/>
                <w:szCs w:val="21"/>
                <w:lang w:bidi="ar"/>
              </w:rPr>
              <w:t>予以规范，属于扶持实体经济发展的举措。</w:t>
            </w:r>
          </w:p>
        </w:tc>
      </w:tr>
      <w:tr w:rsidR="001937FF" w:rsidRPr="001937FF" w14:paraId="2DEB35CA" w14:textId="77777777" w:rsidTr="009F3759">
        <w:trPr>
          <w:trHeight w:val="1275"/>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281CA6C3"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2</w:t>
            </w:r>
          </w:p>
        </w:tc>
        <w:tc>
          <w:tcPr>
            <w:tcW w:w="3291" w:type="pct"/>
            <w:tcBorders>
              <w:top w:val="nil"/>
              <w:left w:val="nil"/>
              <w:bottom w:val="single" w:sz="4" w:space="0" w:color="auto"/>
              <w:right w:val="single" w:sz="4" w:space="0" w:color="auto"/>
            </w:tcBorders>
            <w:shd w:val="clear" w:color="auto" w:fill="auto"/>
            <w:vAlign w:val="center"/>
            <w:hideMark/>
          </w:tcPr>
          <w:p w14:paraId="6E3650A4"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关于第三条适用范围，根据土地管理部门反馈情况，征地返还</w:t>
            </w:r>
            <w:proofErr w:type="gramStart"/>
            <w:r w:rsidRPr="001937FF">
              <w:rPr>
                <w:rFonts w:ascii="仿宋_GB2312" w:eastAsia="仿宋_GB2312" w:hAnsi="仿宋_GB2312" w:cs="仿宋_GB2312"/>
                <w:color w:val="000000"/>
                <w:kern w:val="0"/>
                <w:szCs w:val="21"/>
                <w:lang w:bidi="ar"/>
              </w:rPr>
              <w:t>用地提容不适用</w:t>
            </w:r>
            <w:proofErr w:type="gramEnd"/>
            <w:r w:rsidRPr="001937FF">
              <w:rPr>
                <w:rFonts w:ascii="仿宋_GB2312" w:eastAsia="仿宋_GB2312" w:hAnsi="仿宋_GB2312" w:cs="仿宋_GB2312"/>
                <w:color w:val="000000"/>
                <w:kern w:val="0"/>
                <w:szCs w:val="21"/>
                <w:lang w:bidi="ar"/>
              </w:rPr>
              <w:t>该政策。《深圳市人民政府关于完善国有土地供应管理的若干意见》中明确，协议出让用地包括“非农建设用地、征地返还用地、置换用地、留用土地、城市更新用地和符合规定的棚户区改造用地。”征求意见稿第三条“已签订土地使用权出让合同（以下简称出让合同）”理应包含已出让的非农建设用地和征地返还用地。非农建设用地和征地返还用地是原农村集体经济组织重要土地资产，容积率普遍偏低，具有较大</w:t>
            </w:r>
            <w:proofErr w:type="gramStart"/>
            <w:r w:rsidRPr="001937FF">
              <w:rPr>
                <w:rFonts w:ascii="仿宋_GB2312" w:eastAsia="仿宋_GB2312" w:hAnsi="仿宋_GB2312" w:cs="仿宋_GB2312"/>
                <w:color w:val="000000"/>
                <w:kern w:val="0"/>
                <w:szCs w:val="21"/>
                <w:lang w:bidi="ar"/>
              </w:rPr>
              <w:t>的提容潜力</w:t>
            </w:r>
            <w:proofErr w:type="gramEnd"/>
            <w:r w:rsidRPr="001937FF">
              <w:rPr>
                <w:rFonts w:ascii="仿宋_GB2312" w:eastAsia="仿宋_GB2312" w:hAnsi="仿宋_GB2312" w:cs="仿宋_GB2312"/>
                <w:color w:val="000000"/>
                <w:kern w:val="0"/>
                <w:szCs w:val="21"/>
                <w:lang w:bidi="ar"/>
              </w:rPr>
              <w:t>，为支持发展集体经济，建议明确征地返还用地亦可适用该政策。另，考虑到非农建设用地和征地返还用地一般会进入市场交易，用地出让时容积率较低，难以吸引合作开发企业，且补地价后土地转变为市场商品性质，可分割转让，届时可能会涉及较多权利人，再申请</w:t>
            </w:r>
            <w:proofErr w:type="gramStart"/>
            <w:r w:rsidRPr="001937FF">
              <w:rPr>
                <w:rFonts w:ascii="仿宋_GB2312" w:eastAsia="仿宋_GB2312" w:hAnsi="仿宋_GB2312" w:cs="仿宋_GB2312"/>
                <w:color w:val="000000"/>
                <w:kern w:val="0"/>
                <w:szCs w:val="21"/>
                <w:lang w:bidi="ar"/>
              </w:rPr>
              <w:t>提容可能</w:t>
            </w:r>
            <w:proofErr w:type="gramEnd"/>
            <w:r w:rsidRPr="001937FF">
              <w:rPr>
                <w:rFonts w:ascii="仿宋_GB2312" w:eastAsia="仿宋_GB2312" w:hAnsi="仿宋_GB2312" w:cs="仿宋_GB2312"/>
                <w:color w:val="000000"/>
                <w:kern w:val="0"/>
                <w:szCs w:val="21"/>
                <w:lang w:bidi="ar"/>
              </w:rPr>
              <w:t>难度较大，建议支持此类用地在新建时直接提容。</w:t>
            </w:r>
          </w:p>
        </w:tc>
        <w:tc>
          <w:tcPr>
            <w:tcW w:w="408" w:type="pct"/>
            <w:tcBorders>
              <w:top w:val="nil"/>
              <w:left w:val="nil"/>
              <w:bottom w:val="single" w:sz="4" w:space="0" w:color="auto"/>
              <w:right w:val="single" w:sz="4" w:space="0" w:color="auto"/>
            </w:tcBorders>
            <w:shd w:val="clear" w:color="auto" w:fill="auto"/>
            <w:vAlign w:val="center"/>
            <w:hideMark/>
          </w:tcPr>
          <w:p w14:paraId="34C0A08F"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hyperlink r:id="rId5" w:history="1">
              <w:r w:rsidRPr="001937FF">
                <w:rPr>
                  <w:rFonts w:ascii="仿宋_GB2312" w:eastAsia="仿宋_GB2312" w:hAnsi="仿宋_GB2312" w:cs="仿宋_GB2312"/>
                  <w:color w:val="000000"/>
                  <w:kern w:val="0"/>
                  <w:szCs w:val="21"/>
                  <w:lang w:bidi="ar"/>
                </w:rPr>
                <w:t>市民：3308948**@qq.com</w:t>
              </w:r>
            </w:hyperlink>
          </w:p>
        </w:tc>
        <w:tc>
          <w:tcPr>
            <w:tcW w:w="260" w:type="pct"/>
            <w:tcBorders>
              <w:top w:val="single" w:sz="4" w:space="0" w:color="auto"/>
              <w:left w:val="nil"/>
              <w:bottom w:val="single" w:sz="4" w:space="0" w:color="auto"/>
              <w:right w:val="single" w:sz="4" w:space="0" w:color="auto"/>
            </w:tcBorders>
            <w:shd w:val="clear" w:color="auto" w:fill="auto"/>
            <w:vAlign w:val="center"/>
            <w:hideMark/>
          </w:tcPr>
          <w:p w14:paraId="5CDC66E3"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部分采纳</w:t>
            </w:r>
          </w:p>
        </w:tc>
        <w:tc>
          <w:tcPr>
            <w:tcW w:w="829" w:type="pct"/>
            <w:tcBorders>
              <w:top w:val="single" w:sz="4" w:space="0" w:color="auto"/>
              <w:left w:val="nil"/>
              <w:bottom w:val="single" w:sz="4" w:space="0" w:color="auto"/>
              <w:right w:val="single" w:sz="4" w:space="0" w:color="auto"/>
            </w:tcBorders>
            <w:shd w:val="clear" w:color="auto" w:fill="auto"/>
            <w:vAlign w:val="center"/>
            <w:hideMark/>
          </w:tcPr>
          <w:p w14:paraId="0E64039C"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征地返还用地容积调整须已全部建成并完成规划验收满2年。</w:t>
            </w:r>
          </w:p>
        </w:tc>
      </w:tr>
      <w:tr w:rsidR="001937FF" w:rsidRPr="001937FF" w14:paraId="3319B4E4" w14:textId="77777777" w:rsidTr="009F3759">
        <w:trPr>
          <w:trHeight w:val="816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337B501D"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3</w:t>
            </w:r>
          </w:p>
        </w:tc>
        <w:tc>
          <w:tcPr>
            <w:tcW w:w="3291" w:type="pct"/>
            <w:tcBorders>
              <w:top w:val="nil"/>
              <w:left w:val="nil"/>
              <w:bottom w:val="single" w:sz="4" w:space="0" w:color="auto"/>
              <w:right w:val="single" w:sz="4" w:space="0" w:color="auto"/>
            </w:tcBorders>
            <w:shd w:val="clear" w:color="auto" w:fill="auto"/>
            <w:vAlign w:val="center"/>
            <w:hideMark/>
          </w:tcPr>
          <w:p w14:paraId="1CBD3830"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建议将第三条“其中，招标、拍卖、挂牌出让用地和城市</w:t>
            </w:r>
            <w:r w:rsidRPr="001937FF">
              <w:rPr>
                <w:rFonts w:ascii="MS Gothic" w:eastAsia="MS Gothic" w:hAnsi="MS Gothic" w:cs="MS Gothic"/>
                <w:color w:val="000000"/>
                <w:kern w:val="0"/>
                <w:szCs w:val="21"/>
                <w:lang w:bidi="ar"/>
              </w:rPr>
              <w:t>​</w:t>
            </w:r>
            <w:r w:rsidRPr="001937FF">
              <w:rPr>
                <w:rFonts w:ascii="仿宋_GB2312" w:eastAsia="仿宋_GB2312" w:hAnsi="仿宋_GB2312" w:cs="仿宋_GB2312"/>
                <w:color w:val="000000"/>
                <w:kern w:val="0"/>
                <w:szCs w:val="21"/>
                <w:lang w:bidi="ar"/>
              </w:rPr>
              <w:t>更新项目用地、土地整备置换用地须已全部建成并完成规划验收满2年”修改为“其中，招标、拍卖、挂牌出让用地和城市更新项目开发建设用地、收回土地置换用地须已全部建成并完成规划验收满2年”</w:t>
            </w:r>
            <w:r w:rsidRPr="001937FF">
              <w:rPr>
                <w:rFonts w:ascii="仿宋_GB2312" w:eastAsia="仿宋_GB2312" w:hAnsi="仿宋_GB2312" w:cs="仿宋_GB2312"/>
                <w:color w:val="000000"/>
                <w:kern w:val="0"/>
                <w:szCs w:val="21"/>
                <w:lang w:bidi="ar"/>
              </w:rPr>
              <w:br/>
              <w:t>理由如下：</w:t>
            </w:r>
            <w:r w:rsidRPr="001937FF">
              <w:rPr>
                <w:rFonts w:ascii="MS Gothic" w:eastAsia="MS Gothic" w:hAnsi="MS Gothic" w:cs="MS Gothic"/>
                <w:color w:val="000000"/>
                <w:kern w:val="0"/>
                <w:szCs w:val="21"/>
                <w:lang w:bidi="ar"/>
              </w:rPr>
              <w:t>​</w:t>
            </w:r>
            <w:r w:rsidRPr="001937FF">
              <w:rPr>
                <w:rFonts w:ascii="仿宋_GB2312" w:eastAsia="仿宋_GB2312" w:hAnsi="仿宋_GB2312" w:cs="仿宋_GB2312"/>
                <w:color w:val="000000"/>
                <w:kern w:val="0"/>
                <w:szCs w:val="21"/>
                <w:lang w:bidi="ar"/>
              </w:rPr>
              <w:br/>
              <w:t>（1）城市更新项目用地范畴较广，包括公共用地、开发建设用地，直接使用指向不明，此处应是指《深圳经济特区城市更新条例》中所提及的“以协议方式取得更新单元规划确定的开发建设用地使用权”，建议援引此条表述为城市更新项目开发建设用地。</w:t>
            </w:r>
            <w:r w:rsidRPr="001937FF">
              <w:rPr>
                <w:rFonts w:ascii="仿宋_GB2312" w:eastAsia="仿宋_GB2312" w:hAnsi="仿宋_GB2312" w:cs="仿宋_GB2312"/>
                <w:color w:val="000000"/>
                <w:kern w:val="0"/>
                <w:szCs w:val="21"/>
                <w:lang w:bidi="ar"/>
              </w:rPr>
              <w:br/>
              <w:t>（2）“土地整备置换用地”未有定义，其概念如何界定的问题。</w:t>
            </w:r>
            <w:r w:rsidRPr="001937FF">
              <w:rPr>
                <w:rFonts w:ascii="仿宋_GB2312" w:eastAsia="仿宋_GB2312" w:hAnsi="仿宋_GB2312" w:cs="仿宋_GB2312"/>
                <w:color w:val="000000"/>
                <w:kern w:val="0"/>
                <w:szCs w:val="21"/>
                <w:lang w:bidi="ar"/>
              </w:rPr>
              <w:br/>
              <w:t>土地整备项目范畴较广，根据《深圳市人民政府关于推进土地整备工作的若干意见》对土地整备的实施方式的规定，土地整备工作立足于实现公共利益和城市整体利益的需要，综合运用收回土地使用权、房屋征收、土地收购、</w:t>
            </w:r>
            <w:proofErr w:type="gramStart"/>
            <w:r w:rsidRPr="001937FF">
              <w:rPr>
                <w:rFonts w:ascii="仿宋_GB2312" w:eastAsia="仿宋_GB2312" w:hAnsi="仿宋_GB2312" w:cs="仿宋_GB2312"/>
                <w:color w:val="000000"/>
                <w:kern w:val="0"/>
                <w:szCs w:val="21"/>
                <w:lang w:bidi="ar"/>
              </w:rPr>
              <w:t>征转地</w:t>
            </w:r>
            <w:proofErr w:type="gramEnd"/>
            <w:r w:rsidRPr="001937FF">
              <w:rPr>
                <w:rFonts w:ascii="仿宋_GB2312" w:eastAsia="仿宋_GB2312" w:hAnsi="仿宋_GB2312" w:cs="仿宋_GB2312"/>
                <w:color w:val="000000"/>
                <w:kern w:val="0"/>
                <w:szCs w:val="21"/>
                <w:lang w:bidi="ar"/>
              </w:rPr>
              <w:t>历史遗留问题处理、填海（填江）造地等多种方式，对零散用地进行整合，并进行土地清理及土地前期开发，统一纳入全市土地储备。由土地整备延伸出的各类用地在不同政策文件中有相关定义或分类：</w:t>
            </w:r>
            <w:r w:rsidRPr="001937FF">
              <w:rPr>
                <w:rFonts w:ascii="仿宋_GB2312" w:eastAsia="仿宋_GB2312" w:hAnsi="仿宋_GB2312" w:cs="仿宋_GB2312"/>
                <w:color w:val="000000"/>
                <w:kern w:val="0"/>
                <w:szCs w:val="21"/>
                <w:lang w:bidi="ar"/>
              </w:rPr>
              <w:br/>
              <w:t>一是《深圳市土地整备规划编制技术指引（试行）》，将利益统筹试点项目、返还用地项目、置换用地项目及安置用地项目中留用给土地原权利人开发建设的用地在本指引中统称为“留用土地”。《深圳市地价测算规则》中提到，原农村集体经济组织留用土地项目（包括非农建设用地、征地返还用地、土地整备留用土地，以下简称留用土地）。即，土地整备后留用的用地后续统称为留用土地。</w:t>
            </w:r>
            <w:r w:rsidRPr="001937FF">
              <w:rPr>
                <w:rFonts w:ascii="仿宋_GB2312" w:eastAsia="仿宋_GB2312" w:hAnsi="仿宋_GB2312" w:cs="仿宋_GB2312"/>
                <w:color w:val="000000"/>
                <w:kern w:val="0"/>
                <w:szCs w:val="21"/>
                <w:lang w:bidi="ar"/>
              </w:rPr>
              <w:br/>
              <w:t>二是《关于征地安置补偿和土地置换的若干规定（试行）》中提及了“本试行规定所称征地安置补偿，是指在征收原农村集体经济组织土地的过程中遗留下来的安置和补偿问题，包括为落实征地返还政策进行的土地安置以及为征收土地进行的货币补偿。本试行规定所称土地置换，是指因收回已出让的国有土地使用权给予土地权利人的用地置换。”其中还明确了土地置换应当遵循等价值置换的原则。</w:t>
            </w:r>
            <w:r w:rsidRPr="001937FF">
              <w:rPr>
                <w:rFonts w:ascii="仿宋_GB2312" w:eastAsia="仿宋_GB2312" w:hAnsi="仿宋_GB2312" w:cs="仿宋_GB2312"/>
                <w:color w:val="000000"/>
                <w:kern w:val="0"/>
                <w:szCs w:val="21"/>
                <w:lang w:bidi="ar"/>
              </w:rPr>
              <w:br/>
              <w:t>三是《深圳市原农村集体经济组织非农建设用地和征地返还用地土地使用权交易若干规定》规定，“本规定所称非农建设用地和征地返还用地是指为了保障原农村集体经济组织生产生活需要，促进其可持续发展，根据有关法律法规和政策规定，由规划国土部门核准的原农村集体经济组织保留使用的土地，具体包括：……（二）政府征收原农村集体所有的土地后，返还给原农村集体经济组织的建设用地。”根据此条定义，则可认为《关于征地安置补偿和土地置换的若干规定（试行）》中实际是针对两类用地，征地返还用地（收回的是“原农村</w:t>
            </w:r>
            <w:proofErr w:type="gramStart"/>
            <w:r w:rsidRPr="001937FF">
              <w:rPr>
                <w:rFonts w:ascii="仿宋_GB2312" w:eastAsia="仿宋_GB2312" w:hAnsi="仿宋_GB2312" w:cs="仿宋_GB2312"/>
                <w:color w:val="000000"/>
                <w:kern w:val="0"/>
                <w:szCs w:val="21"/>
                <w:lang w:bidi="ar"/>
              </w:rPr>
              <w:t>集体集体</w:t>
            </w:r>
            <w:proofErr w:type="gramEnd"/>
            <w:r w:rsidRPr="001937FF">
              <w:rPr>
                <w:rFonts w:ascii="仿宋_GB2312" w:eastAsia="仿宋_GB2312" w:hAnsi="仿宋_GB2312" w:cs="仿宋_GB2312"/>
                <w:color w:val="000000"/>
                <w:kern w:val="0"/>
                <w:szCs w:val="21"/>
                <w:lang w:bidi="ar"/>
              </w:rPr>
              <w:t>土地”，后续修订征求意见稿中将转地纳入，范围有所扩大，并明确“按照本规定进行土地安置的，用地类型为征地返还用地，用地管理根据我市关于征地返还用地的相关政策执行”，这也是一种佐证）和土地置换用地（收回的是国有土地）。</w:t>
            </w:r>
            <w:r w:rsidRPr="001937FF">
              <w:rPr>
                <w:rFonts w:ascii="仿宋_GB2312" w:eastAsia="仿宋_GB2312" w:hAnsi="仿宋_GB2312" w:cs="仿宋_GB2312"/>
                <w:color w:val="000000"/>
                <w:kern w:val="0"/>
                <w:szCs w:val="21"/>
                <w:lang w:bidi="ar"/>
              </w:rPr>
              <w:br/>
              <w:t>四是《深圳市土地整备利益统筹项目管理办法》规定，“利益统筹项目留用土地是指按本办法核算并确认给原农村集体经济组织继受单位的用地，包括项目范围内已批合法用地、项目范围外调入合法指标以及本项目核定利益共享用地。”（可以认为利益统筹项目留用土地兼有征地返还和土地置换两种情形，因在此项目中，已批合法用地就可能涉及到国有土地）</w:t>
            </w:r>
            <w:r w:rsidRPr="001937FF">
              <w:rPr>
                <w:rFonts w:ascii="仿宋_GB2312" w:eastAsia="仿宋_GB2312" w:hAnsi="仿宋_GB2312" w:cs="仿宋_GB2312"/>
                <w:color w:val="000000"/>
                <w:kern w:val="0"/>
                <w:szCs w:val="21"/>
                <w:lang w:bidi="ar"/>
              </w:rPr>
              <w:br/>
              <w:t>综合上述政策文件，未见土地整备置换用地的具体定义，但可以认为“土地整备置换用地”应是指《关于征地安置补偿和土地置换的若干规定（试行）》中提到的土地置换这一类型。根据《深圳市土地征用与收回条例》定义，本条例所称收回土地，是指根据法律、法规以及本条例的规定和土地使用权出让合同（以下简称出让合同）及临时使用国有土地合同（以下简称临时用地合同）的规定，收回国有土地使用权的行为，且还强调“采取产权调换方式补偿的，由主管部门或者派出机构补偿同样用途、价值相当的房地产”。政策中对“土地整备置换用地”加以竣工年限的要求，实际是对收回土地后置换的用地实现等价值补偿的进一步落实。至于前面提到的“利益统筹项目留用土地”可能兼有置换用地的性质的问题，考虑到利益统筹项目留用土地以居住用途为主，且基本逻辑是以容积定用地，</w:t>
            </w:r>
            <w:proofErr w:type="gramStart"/>
            <w:r w:rsidRPr="001937FF">
              <w:rPr>
                <w:rFonts w:ascii="仿宋_GB2312" w:eastAsia="仿宋_GB2312" w:hAnsi="仿宋_GB2312" w:cs="仿宋_GB2312"/>
                <w:color w:val="000000"/>
                <w:kern w:val="0"/>
                <w:szCs w:val="21"/>
                <w:lang w:bidi="ar"/>
              </w:rPr>
              <w:t>故提容空间</w:t>
            </w:r>
            <w:proofErr w:type="gramEnd"/>
            <w:r w:rsidRPr="001937FF">
              <w:rPr>
                <w:rFonts w:ascii="仿宋_GB2312" w:eastAsia="仿宋_GB2312" w:hAnsi="仿宋_GB2312" w:cs="仿宋_GB2312"/>
                <w:color w:val="000000"/>
                <w:kern w:val="0"/>
                <w:szCs w:val="21"/>
                <w:lang w:bidi="ar"/>
              </w:rPr>
              <w:t>不大</w:t>
            </w:r>
            <w:r w:rsidRPr="001937FF">
              <w:rPr>
                <w:rFonts w:ascii="MS Gothic" w:eastAsia="MS Gothic" w:hAnsi="MS Gothic" w:cs="MS Gothic"/>
                <w:color w:val="000000"/>
                <w:kern w:val="0"/>
                <w:szCs w:val="21"/>
                <w:lang w:bidi="ar"/>
              </w:rPr>
              <w:t>​​</w:t>
            </w:r>
            <w:r w:rsidRPr="001937FF">
              <w:rPr>
                <w:rFonts w:ascii="仿宋_GB2312" w:eastAsia="仿宋_GB2312" w:hAnsi="仿宋_GB2312" w:cs="仿宋_GB2312"/>
                <w:color w:val="000000"/>
                <w:kern w:val="0"/>
                <w:szCs w:val="21"/>
                <w:lang w:bidi="ar"/>
              </w:rPr>
              <w:t>。故建议将此处“土地整备置换用地”直接明确为“收回土地置换用地”，指向更清晰，</w:t>
            </w:r>
            <w:r w:rsidRPr="001937FF">
              <w:rPr>
                <w:rFonts w:ascii="MS Gothic" w:eastAsia="MS Gothic" w:hAnsi="MS Gothic" w:cs="MS Gothic"/>
                <w:color w:val="000000"/>
                <w:kern w:val="0"/>
                <w:szCs w:val="21"/>
                <w:lang w:bidi="ar"/>
              </w:rPr>
              <w:t>​</w:t>
            </w:r>
            <w:r w:rsidRPr="001937FF">
              <w:rPr>
                <w:rFonts w:ascii="仿宋_GB2312" w:eastAsia="仿宋_GB2312" w:hAnsi="仿宋_GB2312" w:cs="仿宋_GB2312"/>
                <w:color w:val="000000"/>
                <w:kern w:val="0"/>
                <w:szCs w:val="21"/>
                <w:lang w:bidi="ar"/>
              </w:rPr>
              <w:t>以便在政策表述上与深圳市的征地返还用地、非农建设用地等用地作以区分，避免造成误读。</w:t>
            </w:r>
          </w:p>
        </w:tc>
        <w:tc>
          <w:tcPr>
            <w:tcW w:w="408" w:type="pct"/>
            <w:tcBorders>
              <w:top w:val="nil"/>
              <w:left w:val="nil"/>
              <w:bottom w:val="single" w:sz="4" w:space="0" w:color="auto"/>
              <w:right w:val="single" w:sz="4" w:space="0" w:color="auto"/>
            </w:tcBorders>
            <w:shd w:val="clear" w:color="auto" w:fill="auto"/>
            <w:vAlign w:val="center"/>
            <w:hideMark/>
          </w:tcPr>
          <w:p w14:paraId="22214023"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市民：jean-a**@qq.com</w:t>
            </w:r>
          </w:p>
        </w:tc>
        <w:tc>
          <w:tcPr>
            <w:tcW w:w="260" w:type="pct"/>
            <w:tcBorders>
              <w:top w:val="nil"/>
              <w:left w:val="nil"/>
              <w:bottom w:val="single" w:sz="4" w:space="0" w:color="auto"/>
              <w:right w:val="single" w:sz="4" w:space="0" w:color="auto"/>
            </w:tcBorders>
            <w:shd w:val="clear" w:color="auto" w:fill="auto"/>
            <w:vAlign w:val="center"/>
            <w:hideMark/>
          </w:tcPr>
          <w:p w14:paraId="70A6491E"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采纳</w:t>
            </w:r>
          </w:p>
        </w:tc>
        <w:tc>
          <w:tcPr>
            <w:tcW w:w="829" w:type="pct"/>
            <w:tcBorders>
              <w:top w:val="nil"/>
              <w:left w:val="nil"/>
              <w:bottom w:val="single" w:sz="4" w:space="0" w:color="auto"/>
              <w:right w:val="single" w:sz="4" w:space="0" w:color="auto"/>
            </w:tcBorders>
            <w:shd w:val="clear" w:color="auto" w:fill="auto"/>
            <w:vAlign w:val="center"/>
            <w:hideMark/>
          </w:tcPr>
          <w:p w14:paraId="364FEBE6"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招标、拍卖、挂牌出让用地和城市更新项目用地、原农村集体经济组织留用土地（包括非农建设用地、征地返还用地、土地整备留用土地）、土地整备置换用地须已全部建成并完成规划验收满2年。</w:t>
            </w:r>
          </w:p>
        </w:tc>
      </w:tr>
      <w:tr w:rsidR="001937FF" w:rsidRPr="001937FF" w14:paraId="0549ABA8" w14:textId="77777777" w:rsidTr="009F3759">
        <w:trPr>
          <w:trHeight w:val="102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7C3D5C9A"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4</w:t>
            </w:r>
          </w:p>
        </w:tc>
        <w:tc>
          <w:tcPr>
            <w:tcW w:w="3291" w:type="pct"/>
            <w:tcBorders>
              <w:top w:val="nil"/>
              <w:left w:val="nil"/>
              <w:bottom w:val="single" w:sz="4" w:space="0" w:color="auto"/>
              <w:right w:val="single" w:sz="4" w:space="0" w:color="auto"/>
            </w:tcBorders>
            <w:shd w:val="clear" w:color="auto" w:fill="auto"/>
            <w:vAlign w:val="center"/>
            <w:hideMark/>
          </w:tcPr>
          <w:p w14:paraId="59166E9D"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意见稿第三条“其中，招标、拍卖、挂牌出让用地和城市更新项目用地、土地整备置换用地须已全部建成并完成规划验收满2年。 ”建议明确土地整备置换用地具体类型。征地返还地已经签了土地出让合同</w:t>
            </w:r>
            <w:proofErr w:type="gramStart"/>
            <w:r w:rsidRPr="001937FF">
              <w:rPr>
                <w:rFonts w:ascii="仿宋_GB2312" w:eastAsia="仿宋_GB2312" w:hAnsi="仿宋_GB2312" w:cs="仿宋_GB2312"/>
                <w:color w:val="000000"/>
                <w:kern w:val="0"/>
                <w:szCs w:val="21"/>
                <w:lang w:bidi="ar"/>
              </w:rPr>
              <w:t>适</w:t>
            </w:r>
            <w:proofErr w:type="gramEnd"/>
            <w:r w:rsidRPr="001937FF">
              <w:rPr>
                <w:rFonts w:ascii="仿宋_GB2312" w:eastAsia="仿宋_GB2312" w:hAnsi="仿宋_GB2312" w:cs="仿宋_GB2312"/>
                <w:color w:val="000000"/>
                <w:kern w:val="0"/>
                <w:szCs w:val="21"/>
                <w:lang w:bidi="ar"/>
              </w:rPr>
              <w:t>不适用？利益统筹留用地已经批复，适不适用。</w:t>
            </w:r>
          </w:p>
        </w:tc>
        <w:tc>
          <w:tcPr>
            <w:tcW w:w="408" w:type="pct"/>
            <w:tcBorders>
              <w:top w:val="nil"/>
              <w:left w:val="nil"/>
              <w:bottom w:val="single" w:sz="4" w:space="0" w:color="auto"/>
              <w:right w:val="single" w:sz="4" w:space="0" w:color="auto"/>
            </w:tcBorders>
            <w:shd w:val="clear" w:color="auto" w:fill="auto"/>
            <w:vAlign w:val="center"/>
            <w:hideMark/>
          </w:tcPr>
          <w:p w14:paraId="4C9E61D0"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市民：2725402**@qq.com</w:t>
            </w:r>
          </w:p>
        </w:tc>
        <w:tc>
          <w:tcPr>
            <w:tcW w:w="260" w:type="pct"/>
            <w:tcBorders>
              <w:top w:val="nil"/>
              <w:left w:val="nil"/>
              <w:bottom w:val="single" w:sz="4" w:space="0" w:color="auto"/>
              <w:right w:val="single" w:sz="4" w:space="0" w:color="auto"/>
            </w:tcBorders>
            <w:shd w:val="clear" w:color="auto" w:fill="auto"/>
            <w:vAlign w:val="center"/>
            <w:hideMark/>
          </w:tcPr>
          <w:p w14:paraId="731B4E2A"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采纳</w:t>
            </w:r>
          </w:p>
        </w:tc>
        <w:tc>
          <w:tcPr>
            <w:tcW w:w="829" w:type="pct"/>
            <w:tcBorders>
              <w:top w:val="nil"/>
              <w:left w:val="nil"/>
              <w:bottom w:val="single" w:sz="4" w:space="0" w:color="auto"/>
              <w:right w:val="single" w:sz="4" w:space="0" w:color="auto"/>
            </w:tcBorders>
            <w:shd w:val="clear" w:color="auto" w:fill="auto"/>
            <w:vAlign w:val="center"/>
            <w:hideMark/>
          </w:tcPr>
          <w:p w14:paraId="799286C8"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原农村集体经济组织留用土地（包括非农建设用地、征地返还用地、土地整备留用土地）、土地整备置换用地须已全部建成并完成规划验收满2年。</w:t>
            </w:r>
          </w:p>
        </w:tc>
      </w:tr>
      <w:tr w:rsidR="001937FF" w:rsidRPr="001937FF" w14:paraId="1C1200EE" w14:textId="77777777" w:rsidTr="009F3759">
        <w:trPr>
          <w:trHeight w:val="102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764B0F64"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lastRenderedPageBreak/>
              <w:t>5</w:t>
            </w:r>
          </w:p>
        </w:tc>
        <w:tc>
          <w:tcPr>
            <w:tcW w:w="3291" w:type="pct"/>
            <w:tcBorders>
              <w:top w:val="nil"/>
              <w:left w:val="nil"/>
              <w:bottom w:val="single" w:sz="4" w:space="0" w:color="auto"/>
              <w:right w:val="single" w:sz="4" w:space="0" w:color="auto"/>
            </w:tcBorders>
            <w:shd w:val="clear" w:color="auto" w:fill="auto"/>
            <w:vAlign w:val="center"/>
            <w:hideMark/>
          </w:tcPr>
          <w:p w14:paraId="389A547B"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br/>
              <w:t>为简化审批流程建议由各区政府调整为各区产业主管部门。具体包括：建议由各区产业主管部门负责产业准入、产业发展、产业用地容积调整的</w:t>
            </w:r>
            <w:proofErr w:type="gramStart"/>
            <w:r w:rsidRPr="001937FF">
              <w:rPr>
                <w:rFonts w:ascii="仿宋_GB2312" w:eastAsia="仿宋_GB2312" w:hAnsi="仿宋_GB2312" w:cs="仿宋_GB2312"/>
                <w:color w:val="000000"/>
                <w:kern w:val="0"/>
                <w:szCs w:val="21"/>
                <w:lang w:bidi="ar"/>
              </w:rPr>
              <w:t>拟贡献</w:t>
            </w:r>
            <w:proofErr w:type="gramEnd"/>
            <w:r w:rsidRPr="001937FF">
              <w:rPr>
                <w:rFonts w:ascii="仿宋_GB2312" w:eastAsia="仿宋_GB2312" w:hAnsi="仿宋_GB2312" w:cs="仿宋_GB2312"/>
                <w:color w:val="000000"/>
                <w:kern w:val="0"/>
                <w:szCs w:val="21"/>
                <w:lang w:bidi="ar"/>
              </w:rPr>
              <w:t>建筑物处置方案的审批和产业监管；建议删除“具体处置方式由区产业主管部门拟定后报区政府审批”；建议删除“经审查同意容积调整的，区产业主管部门应将产业发展监管协议和</w:t>
            </w:r>
            <w:proofErr w:type="gramStart"/>
            <w:r w:rsidRPr="001937FF">
              <w:rPr>
                <w:rFonts w:ascii="仿宋_GB2312" w:eastAsia="仿宋_GB2312" w:hAnsi="仿宋_GB2312" w:cs="仿宋_GB2312"/>
                <w:color w:val="000000"/>
                <w:kern w:val="0"/>
                <w:szCs w:val="21"/>
                <w:lang w:bidi="ar"/>
              </w:rPr>
              <w:t>拟贡献</w:t>
            </w:r>
            <w:proofErr w:type="gramEnd"/>
            <w:r w:rsidRPr="001937FF">
              <w:rPr>
                <w:rFonts w:ascii="仿宋_GB2312" w:eastAsia="仿宋_GB2312" w:hAnsi="仿宋_GB2312" w:cs="仿宋_GB2312"/>
                <w:color w:val="000000"/>
                <w:kern w:val="0"/>
                <w:szCs w:val="21"/>
                <w:lang w:bidi="ar"/>
              </w:rPr>
              <w:t>建筑物处置方案等事宜报区政府审批，区政府应在15个工作日内完成审批工作”；建议第十条修改为“经区产业主管部门批准......”。</w:t>
            </w:r>
          </w:p>
        </w:tc>
        <w:tc>
          <w:tcPr>
            <w:tcW w:w="408" w:type="pct"/>
            <w:tcBorders>
              <w:top w:val="nil"/>
              <w:left w:val="nil"/>
              <w:bottom w:val="single" w:sz="4" w:space="0" w:color="auto"/>
              <w:right w:val="single" w:sz="4" w:space="0" w:color="auto"/>
            </w:tcBorders>
            <w:shd w:val="clear" w:color="auto" w:fill="auto"/>
            <w:vAlign w:val="center"/>
            <w:hideMark/>
          </w:tcPr>
          <w:p w14:paraId="13A7D4EB"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卢先生</w:t>
            </w:r>
          </w:p>
        </w:tc>
        <w:tc>
          <w:tcPr>
            <w:tcW w:w="260" w:type="pct"/>
            <w:tcBorders>
              <w:top w:val="nil"/>
              <w:left w:val="nil"/>
              <w:bottom w:val="single" w:sz="4" w:space="0" w:color="auto"/>
              <w:right w:val="single" w:sz="4" w:space="0" w:color="auto"/>
            </w:tcBorders>
            <w:shd w:val="clear" w:color="auto" w:fill="auto"/>
            <w:vAlign w:val="center"/>
            <w:hideMark/>
          </w:tcPr>
          <w:p w14:paraId="289FF3DE"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解释</w:t>
            </w:r>
          </w:p>
        </w:tc>
        <w:tc>
          <w:tcPr>
            <w:tcW w:w="829" w:type="pct"/>
            <w:tcBorders>
              <w:top w:val="nil"/>
              <w:left w:val="nil"/>
              <w:bottom w:val="single" w:sz="4" w:space="0" w:color="auto"/>
              <w:right w:val="single" w:sz="4" w:space="0" w:color="auto"/>
            </w:tcBorders>
            <w:shd w:val="clear" w:color="auto" w:fill="auto"/>
            <w:vAlign w:val="center"/>
            <w:hideMark/>
          </w:tcPr>
          <w:p w14:paraId="1B5B63D7"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proofErr w:type="gramStart"/>
            <w:r w:rsidRPr="001937FF">
              <w:rPr>
                <w:rFonts w:ascii="仿宋_GB2312" w:eastAsia="仿宋_GB2312" w:hAnsi="仿宋_GB2312" w:cs="仿宋_GB2312"/>
                <w:color w:val="000000"/>
                <w:kern w:val="0"/>
                <w:szCs w:val="21"/>
                <w:lang w:bidi="ar"/>
              </w:rPr>
              <w:t>产业提容事项</w:t>
            </w:r>
            <w:proofErr w:type="gramEnd"/>
            <w:r w:rsidRPr="001937FF">
              <w:rPr>
                <w:rFonts w:ascii="仿宋_GB2312" w:eastAsia="仿宋_GB2312" w:hAnsi="仿宋_GB2312" w:cs="仿宋_GB2312"/>
                <w:color w:val="000000"/>
                <w:kern w:val="0"/>
                <w:szCs w:val="21"/>
                <w:lang w:bidi="ar"/>
              </w:rPr>
              <w:t>区一级审批，产业监管协议和</w:t>
            </w:r>
            <w:proofErr w:type="gramStart"/>
            <w:r w:rsidRPr="001937FF">
              <w:rPr>
                <w:rFonts w:ascii="仿宋_GB2312" w:eastAsia="仿宋_GB2312" w:hAnsi="仿宋_GB2312" w:cs="仿宋_GB2312"/>
                <w:color w:val="000000"/>
                <w:kern w:val="0"/>
                <w:szCs w:val="21"/>
                <w:lang w:bidi="ar"/>
              </w:rPr>
              <w:t>拟贡献</w:t>
            </w:r>
            <w:proofErr w:type="gramEnd"/>
            <w:r w:rsidRPr="001937FF">
              <w:rPr>
                <w:rFonts w:ascii="仿宋_GB2312" w:eastAsia="仿宋_GB2312" w:hAnsi="仿宋_GB2312" w:cs="仿宋_GB2312"/>
                <w:color w:val="000000"/>
                <w:kern w:val="0"/>
                <w:szCs w:val="21"/>
                <w:lang w:bidi="ar"/>
              </w:rPr>
              <w:t>建筑物处置方案由区政府负责审批。</w:t>
            </w:r>
          </w:p>
        </w:tc>
      </w:tr>
      <w:tr w:rsidR="001937FF" w:rsidRPr="001937FF" w14:paraId="11C741A7" w14:textId="77777777" w:rsidTr="009F3759">
        <w:trPr>
          <w:trHeight w:val="1275"/>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79BA6B6C"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6</w:t>
            </w:r>
          </w:p>
        </w:tc>
        <w:tc>
          <w:tcPr>
            <w:tcW w:w="3291" w:type="pct"/>
            <w:tcBorders>
              <w:top w:val="nil"/>
              <w:left w:val="nil"/>
              <w:bottom w:val="single" w:sz="4" w:space="0" w:color="auto"/>
              <w:right w:val="single" w:sz="4" w:space="0" w:color="auto"/>
            </w:tcBorders>
            <w:shd w:val="clear" w:color="auto" w:fill="auto"/>
            <w:vAlign w:val="center"/>
            <w:hideMark/>
          </w:tcPr>
          <w:p w14:paraId="7FB7FA94"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关于第三条容积确定，“地块容积及容积率原则上应根据生效法定规划确定。如需对生效法定规划进行调整的，应以宗地为单位，依据《深圳市城市规划标准与准则》，综合考虑相关影响条件及容积转移、奖励等因素研究论证，按程序批准确定。”考虑到非农建设用地和征地返还用地一般是单一地块，与城市更新项目、土地整备利益统筹项目等以项目规划来确定规划容积率确定方式存在差异，难以通过计算容积转移、奖励等提高容积，建议在满足公共服务设施、交通设施和市政设施等服务能力的前提下，非农建设用地和征地返还用地的地块容积及容积率经专题研究后，可在《深标》的基础上适当提高，提高的比例不超过1.4倍。（一是参考城市更新项目中奖励容积不超过基础容积30%，再加上可能有部分转移容积，最高约在40%左右，二是以“深标”测算中工业用地最高为3.5*1.3*1=4.55，按“工业上楼”政策中新供应用地容积率不高于6.5的规定反推亦约为1.4倍。)</w:t>
            </w:r>
          </w:p>
        </w:tc>
        <w:tc>
          <w:tcPr>
            <w:tcW w:w="408" w:type="pct"/>
            <w:tcBorders>
              <w:top w:val="nil"/>
              <w:left w:val="nil"/>
              <w:bottom w:val="single" w:sz="4" w:space="0" w:color="auto"/>
              <w:right w:val="single" w:sz="4" w:space="0" w:color="auto"/>
            </w:tcBorders>
            <w:shd w:val="clear" w:color="auto" w:fill="auto"/>
            <w:vAlign w:val="center"/>
            <w:hideMark/>
          </w:tcPr>
          <w:p w14:paraId="5014F2C8"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hyperlink r:id="rId6" w:history="1">
              <w:r w:rsidRPr="001937FF">
                <w:rPr>
                  <w:rFonts w:ascii="仿宋_GB2312" w:eastAsia="仿宋_GB2312" w:hAnsi="仿宋_GB2312" w:cs="仿宋_GB2312"/>
                  <w:color w:val="000000"/>
                  <w:kern w:val="0"/>
                  <w:szCs w:val="21"/>
                  <w:lang w:bidi="ar"/>
                </w:rPr>
                <w:t>市民：3308948**@qq.com</w:t>
              </w:r>
            </w:hyperlink>
          </w:p>
        </w:tc>
        <w:tc>
          <w:tcPr>
            <w:tcW w:w="260" w:type="pct"/>
            <w:tcBorders>
              <w:top w:val="nil"/>
              <w:left w:val="nil"/>
              <w:bottom w:val="single" w:sz="4" w:space="0" w:color="auto"/>
              <w:right w:val="single" w:sz="4" w:space="0" w:color="auto"/>
            </w:tcBorders>
            <w:shd w:val="clear" w:color="auto" w:fill="auto"/>
            <w:vAlign w:val="center"/>
            <w:hideMark/>
          </w:tcPr>
          <w:p w14:paraId="4EB2B59A"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解释</w:t>
            </w:r>
          </w:p>
        </w:tc>
        <w:tc>
          <w:tcPr>
            <w:tcW w:w="829" w:type="pct"/>
            <w:tcBorders>
              <w:top w:val="nil"/>
              <w:left w:val="nil"/>
              <w:bottom w:val="single" w:sz="4" w:space="0" w:color="auto"/>
              <w:right w:val="single" w:sz="4" w:space="0" w:color="auto"/>
            </w:tcBorders>
            <w:shd w:val="clear" w:color="auto" w:fill="auto"/>
            <w:vAlign w:val="center"/>
            <w:hideMark/>
          </w:tcPr>
          <w:p w14:paraId="38EDB1B5"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地块容积及容积率原则上应根据生效法定规划确定。如需对生效法定规划进行调整的，应以宗地为单位，依据《深圳市城市规划标准与准则》，综合考虑相关影响条件及容积转移、奖励等因素研究论证，按程序批准确定。</w:t>
            </w:r>
          </w:p>
        </w:tc>
      </w:tr>
      <w:tr w:rsidR="001937FF" w:rsidRPr="001937FF" w14:paraId="6342E2E5" w14:textId="77777777" w:rsidTr="009F3759">
        <w:trPr>
          <w:trHeight w:val="1422"/>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242E4F6E"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7</w:t>
            </w:r>
          </w:p>
        </w:tc>
        <w:tc>
          <w:tcPr>
            <w:tcW w:w="3291" w:type="pct"/>
            <w:tcBorders>
              <w:top w:val="nil"/>
              <w:left w:val="nil"/>
              <w:bottom w:val="single" w:sz="4" w:space="0" w:color="auto"/>
              <w:right w:val="single" w:sz="4" w:space="0" w:color="auto"/>
            </w:tcBorders>
            <w:shd w:val="clear" w:color="auto" w:fill="auto"/>
            <w:vAlign w:val="center"/>
            <w:hideMark/>
          </w:tcPr>
          <w:p w14:paraId="1FA9E570"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第七条应移交的公共利益用地与第八条贡献建筑面积折算的公益用地面积有什么关联性？</w:t>
            </w:r>
            <w:r w:rsidRPr="001937FF">
              <w:rPr>
                <w:rFonts w:ascii="仿宋_GB2312" w:eastAsia="仿宋_GB2312" w:hAnsi="仿宋_GB2312" w:cs="仿宋_GB2312"/>
                <w:color w:val="000000"/>
                <w:kern w:val="0"/>
                <w:szCs w:val="21"/>
                <w:lang w:bidi="ar"/>
              </w:rPr>
              <w:br/>
              <w:t>比如规划应移交的公益用地占比为18%，贡献建筑面积折算应移交的用地面积为12%（未达宗地15%），则可转移建筑量的用地为18%-15%=3%吗？</w:t>
            </w:r>
            <w:r w:rsidRPr="001937FF">
              <w:rPr>
                <w:rFonts w:ascii="仿宋_GB2312" w:eastAsia="仿宋_GB2312" w:hAnsi="仿宋_GB2312" w:cs="仿宋_GB2312"/>
                <w:color w:val="000000"/>
                <w:kern w:val="0"/>
                <w:szCs w:val="21"/>
                <w:lang w:bidi="ar"/>
              </w:rPr>
              <w:br/>
              <w:t>比如规划应移交的公益用地占比为18%，贡献建筑面积折算的用地面积为16%（超过宗地15%），可转移量的用地为18%-16%=2%？</w:t>
            </w:r>
          </w:p>
        </w:tc>
        <w:tc>
          <w:tcPr>
            <w:tcW w:w="408" w:type="pct"/>
            <w:tcBorders>
              <w:top w:val="nil"/>
              <w:left w:val="nil"/>
              <w:bottom w:val="single" w:sz="4" w:space="0" w:color="auto"/>
              <w:right w:val="single" w:sz="4" w:space="0" w:color="auto"/>
            </w:tcBorders>
            <w:shd w:val="clear" w:color="auto" w:fill="auto"/>
            <w:vAlign w:val="center"/>
            <w:hideMark/>
          </w:tcPr>
          <w:p w14:paraId="53D3AF2F"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市民：137****3340</w:t>
            </w:r>
          </w:p>
        </w:tc>
        <w:tc>
          <w:tcPr>
            <w:tcW w:w="260" w:type="pct"/>
            <w:vMerge w:val="restart"/>
            <w:tcBorders>
              <w:top w:val="nil"/>
              <w:left w:val="single" w:sz="4" w:space="0" w:color="auto"/>
              <w:bottom w:val="single" w:sz="4" w:space="0" w:color="000000"/>
              <w:right w:val="single" w:sz="4" w:space="0" w:color="auto"/>
            </w:tcBorders>
            <w:shd w:val="clear" w:color="auto" w:fill="auto"/>
            <w:vAlign w:val="center"/>
            <w:hideMark/>
          </w:tcPr>
          <w:p w14:paraId="7AF4926F"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解释</w:t>
            </w:r>
          </w:p>
        </w:tc>
        <w:tc>
          <w:tcPr>
            <w:tcW w:w="829" w:type="pct"/>
            <w:vMerge w:val="restart"/>
            <w:tcBorders>
              <w:top w:val="nil"/>
              <w:left w:val="single" w:sz="4" w:space="0" w:color="auto"/>
              <w:bottom w:val="single" w:sz="4" w:space="0" w:color="000000"/>
              <w:right w:val="single" w:sz="4" w:space="0" w:color="auto"/>
            </w:tcBorders>
            <w:shd w:val="clear" w:color="auto" w:fill="auto"/>
            <w:vAlign w:val="center"/>
            <w:hideMark/>
          </w:tcPr>
          <w:p w14:paraId="13A2AFE7"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产业用地容积调整应先无偿移交法定规划确定或经规划研究确定的公共利益用地。移交的公共利益用地超过宗地面积15%的可以进行容积转移。贡献建筑折算的土地面积应与实际贡献公共利益用地面积进行对比。移交的公共利益用地面积不足贡献基准建筑面积折算的土地面积的，需补足</w:t>
            </w:r>
            <w:proofErr w:type="gramStart"/>
            <w:r w:rsidRPr="001937FF">
              <w:rPr>
                <w:rFonts w:ascii="仿宋_GB2312" w:eastAsia="仿宋_GB2312" w:hAnsi="仿宋_GB2312" w:cs="仿宋_GB2312"/>
                <w:color w:val="000000"/>
                <w:kern w:val="0"/>
                <w:szCs w:val="21"/>
                <w:lang w:bidi="ar"/>
              </w:rPr>
              <w:t>至贡献</w:t>
            </w:r>
            <w:proofErr w:type="gramEnd"/>
            <w:r w:rsidRPr="001937FF">
              <w:rPr>
                <w:rFonts w:ascii="仿宋_GB2312" w:eastAsia="仿宋_GB2312" w:hAnsi="仿宋_GB2312" w:cs="仿宋_GB2312"/>
                <w:color w:val="000000"/>
                <w:kern w:val="0"/>
                <w:szCs w:val="21"/>
                <w:lang w:bidi="ar"/>
              </w:rPr>
              <w:t>基准；移交的公共利益用地面积超过贡献基准建筑面积折算的土地面积的，按规划实施。</w:t>
            </w:r>
          </w:p>
        </w:tc>
      </w:tr>
      <w:tr w:rsidR="001937FF" w:rsidRPr="001937FF" w14:paraId="3DC76305" w14:textId="77777777" w:rsidTr="009F3759">
        <w:trPr>
          <w:trHeight w:val="120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18074AF4"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8</w:t>
            </w:r>
          </w:p>
        </w:tc>
        <w:tc>
          <w:tcPr>
            <w:tcW w:w="3291" w:type="pct"/>
            <w:tcBorders>
              <w:top w:val="nil"/>
              <w:left w:val="nil"/>
              <w:bottom w:val="single" w:sz="4" w:space="0" w:color="auto"/>
              <w:right w:val="single" w:sz="4" w:space="0" w:color="auto"/>
            </w:tcBorders>
            <w:shd w:val="clear" w:color="auto" w:fill="auto"/>
            <w:vAlign w:val="center"/>
            <w:hideMark/>
          </w:tcPr>
          <w:p w14:paraId="6AD32B5C"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第八条“贡献标准”条文中建议明确，根据法定图则确定贡献用地或者建筑面积。很多人理解成用地和建筑都要贡献。</w:t>
            </w:r>
          </w:p>
        </w:tc>
        <w:tc>
          <w:tcPr>
            <w:tcW w:w="408" w:type="pct"/>
            <w:tcBorders>
              <w:top w:val="nil"/>
              <w:left w:val="nil"/>
              <w:bottom w:val="single" w:sz="4" w:space="0" w:color="auto"/>
              <w:right w:val="single" w:sz="4" w:space="0" w:color="auto"/>
            </w:tcBorders>
            <w:shd w:val="clear" w:color="auto" w:fill="auto"/>
            <w:vAlign w:val="center"/>
            <w:hideMark/>
          </w:tcPr>
          <w:p w14:paraId="42335585"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市民：2725402**@qq.com</w:t>
            </w:r>
          </w:p>
        </w:tc>
        <w:tc>
          <w:tcPr>
            <w:tcW w:w="260" w:type="pct"/>
            <w:vMerge/>
            <w:tcBorders>
              <w:top w:val="nil"/>
              <w:left w:val="single" w:sz="4" w:space="0" w:color="auto"/>
              <w:bottom w:val="single" w:sz="4" w:space="0" w:color="000000"/>
              <w:right w:val="single" w:sz="4" w:space="0" w:color="auto"/>
            </w:tcBorders>
            <w:vAlign w:val="center"/>
            <w:hideMark/>
          </w:tcPr>
          <w:p w14:paraId="466494C6"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p>
        </w:tc>
        <w:tc>
          <w:tcPr>
            <w:tcW w:w="829" w:type="pct"/>
            <w:vMerge/>
            <w:tcBorders>
              <w:top w:val="nil"/>
              <w:left w:val="single" w:sz="4" w:space="0" w:color="auto"/>
              <w:bottom w:val="single" w:sz="4" w:space="0" w:color="000000"/>
              <w:right w:val="single" w:sz="4" w:space="0" w:color="auto"/>
            </w:tcBorders>
            <w:vAlign w:val="center"/>
            <w:hideMark/>
          </w:tcPr>
          <w:p w14:paraId="1BAC5862"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p>
        </w:tc>
      </w:tr>
      <w:tr w:rsidR="001937FF" w:rsidRPr="001937FF" w14:paraId="6646BD92" w14:textId="77777777" w:rsidTr="009F3759">
        <w:trPr>
          <w:trHeight w:val="765"/>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252E923B"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9</w:t>
            </w:r>
          </w:p>
        </w:tc>
        <w:tc>
          <w:tcPr>
            <w:tcW w:w="3291" w:type="pct"/>
            <w:tcBorders>
              <w:top w:val="nil"/>
              <w:left w:val="nil"/>
              <w:bottom w:val="single" w:sz="4" w:space="0" w:color="auto"/>
              <w:right w:val="single" w:sz="4" w:space="0" w:color="auto"/>
            </w:tcBorders>
            <w:shd w:val="clear" w:color="auto" w:fill="auto"/>
            <w:vAlign w:val="center"/>
            <w:hideMark/>
          </w:tcPr>
          <w:p w14:paraId="06ACABFE"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第十条“产业用地容积调整需补足至贡献基准的，需补足移交的建筑面积可按规定无偿移交政府，也可按本规定第十五条缴纳地价后由权利人自行持有，该部分建筑物不得转让。”在实际执行中，因地价缴给市政府，而无偿移交的对象是区政府，因此，在区一级执行时，有关部门都选择“按规定无偿移交政府”，不允许“按本规定第十五条缴纳地价后由权利人自行持有”。考虑到目前经济形势和市场状况，建议本条直接规定：需补足移交的建筑面积按本规定第十五条缴纳地价后由权利人自行持有，该部分建筑物不得转让。</w:t>
            </w:r>
          </w:p>
        </w:tc>
        <w:tc>
          <w:tcPr>
            <w:tcW w:w="408" w:type="pct"/>
            <w:tcBorders>
              <w:top w:val="nil"/>
              <w:left w:val="nil"/>
              <w:bottom w:val="single" w:sz="4" w:space="0" w:color="auto"/>
              <w:right w:val="single" w:sz="4" w:space="0" w:color="auto"/>
            </w:tcBorders>
            <w:shd w:val="clear" w:color="auto" w:fill="auto"/>
            <w:vAlign w:val="center"/>
            <w:hideMark/>
          </w:tcPr>
          <w:p w14:paraId="294ED87C"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市民</w:t>
            </w:r>
          </w:p>
        </w:tc>
        <w:tc>
          <w:tcPr>
            <w:tcW w:w="260" w:type="pct"/>
            <w:tcBorders>
              <w:top w:val="nil"/>
              <w:left w:val="nil"/>
              <w:bottom w:val="single" w:sz="4" w:space="0" w:color="auto"/>
              <w:right w:val="single" w:sz="4" w:space="0" w:color="auto"/>
            </w:tcBorders>
            <w:shd w:val="clear" w:color="auto" w:fill="auto"/>
            <w:vAlign w:val="center"/>
            <w:hideMark/>
          </w:tcPr>
          <w:p w14:paraId="50D3E324"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部分采纳</w:t>
            </w:r>
          </w:p>
        </w:tc>
        <w:tc>
          <w:tcPr>
            <w:tcW w:w="829" w:type="pct"/>
            <w:tcBorders>
              <w:top w:val="nil"/>
              <w:left w:val="nil"/>
              <w:bottom w:val="nil"/>
              <w:right w:val="single" w:sz="4" w:space="0" w:color="auto"/>
            </w:tcBorders>
            <w:shd w:val="clear" w:color="auto" w:fill="auto"/>
            <w:vAlign w:val="center"/>
            <w:hideMark/>
          </w:tcPr>
          <w:p w14:paraId="6BBDAA9A"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因企业扩大再生产需要的，权利人可优先选择自行持有。</w:t>
            </w:r>
          </w:p>
        </w:tc>
      </w:tr>
      <w:tr w:rsidR="001937FF" w:rsidRPr="001937FF" w14:paraId="564AE233" w14:textId="77777777" w:rsidTr="009F3759">
        <w:trPr>
          <w:trHeight w:val="81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42E36BF8"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10</w:t>
            </w:r>
          </w:p>
        </w:tc>
        <w:tc>
          <w:tcPr>
            <w:tcW w:w="3291" w:type="pct"/>
            <w:tcBorders>
              <w:top w:val="nil"/>
              <w:left w:val="nil"/>
              <w:bottom w:val="single" w:sz="4" w:space="0" w:color="auto"/>
              <w:right w:val="single" w:sz="4" w:space="0" w:color="auto"/>
            </w:tcBorders>
            <w:shd w:val="clear" w:color="auto" w:fill="auto"/>
            <w:vAlign w:val="center"/>
            <w:hideMark/>
          </w:tcPr>
          <w:p w14:paraId="29B1F272"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建议第（二）项目增加“因公共利益或被鉴定结构存在安全隐患需要拆除部分或全部受影响的建（构）筑物的”。</w:t>
            </w:r>
          </w:p>
        </w:tc>
        <w:tc>
          <w:tcPr>
            <w:tcW w:w="408" w:type="pct"/>
            <w:tcBorders>
              <w:top w:val="nil"/>
              <w:left w:val="nil"/>
              <w:bottom w:val="single" w:sz="4" w:space="0" w:color="auto"/>
              <w:right w:val="single" w:sz="4" w:space="0" w:color="auto"/>
            </w:tcBorders>
            <w:shd w:val="clear" w:color="auto" w:fill="auto"/>
            <w:vAlign w:val="center"/>
            <w:hideMark/>
          </w:tcPr>
          <w:p w14:paraId="2AAEC1BA"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hyperlink r:id="rId7" w:history="1">
              <w:r w:rsidRPr="001937FF">
                <w:rPr>
                  <w:rFonts w:ascii="仿宋_GB2312" w:eastAsia="仿宋_GB2312" w:hAnsi="仿宋_GB2312" w:cs="仿宋_GB2312"/>
                  <w:color w:val="000000"/>
                  <w:kern w:val="0"/>
                  <w:szCs w:val="21"/>
                  <w:lang w:bidi="ar"/>
                </w:rPr>
                <w:t>市民：1612090335@qq.com</w:t>
              </w:r>
            </w:hyperlink>
          </w:p>
        </w:tc>
        <w:tc>
          <w:tcPr>
            <w:tcW w:w="260" w:type="pct"/>
            <w:tcBorders>
              <w:top w:val="nil"/>
              <w:left w:val="nil"/>
              <w:bottom w:val="single" w:sz="4" w:space="0" w:color="auto"/>
              <w:right w:val="single" w:sz="4" w:space="0" w:color="auto"/>
            </w:tcBorders>
            <w:shd w:val="clear" w:color="auto" w:fill="auto"/>
            <w:vAlign w:val="center"/>
            <w:hideMark/>
          </w:tcPr>
          <w:p w14:paraId="0D4ACCE6"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解释</w:t>
            </w:r>
          </w:p>
        </w:tc>
        <w:tc>
          <w:tcPr>
            <w:tcW w:w="829" w:type="pct"/>
            <w:tcBorders>
              <w:top w:val="single" w:sz="4" w:space="0" w:color="auto"/>
              <w:left w:val="nil"/>
              <w:bottom w:val="single" w:sz="4" w:space="0" w:color="auto"/>
              <w:right w:val="single" w:sz="4" w:space="0" w:color="auto"/>
            </w:tcBorders>
            <w:shd w:val="clear" w:color="auto" w:fill="auto"/>
            <w:vAlign w:val="center"/>
            <w:hideMark/>
          </w:tcPr>
          <w:p w14:paraId="09A33C3F"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存在安全隐患的房屋，按照我市危房相关规定执行。</w:t>
            </w:r>
          </w:p>
        </w:tc>
      </w:tr>
      <w:tr w:rsidR="001937FF" w:rsidRPr="001937FF" w14:paraId="1A6F3423" w14:textId="77777777" w:rsidTr="009F3759">
        <w:trPr>
          <w:trHeight w:val="102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11D4A9E7"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11</w:t>
            </w:r>
          </w:p>
        </w:tc>
        <w:tc>
          <w:tcPr>
            <w:tcW w:w="3291" w:type="pct"/>
            <w:tcBorders>
              <w:top w:val="nil"/>
              <w:left w:val="nil"/>
              <w:bottom w:val="single" w:sz="4" w:space="0" w:color="auto"/>
              <w:right w:val="single" w:sz="4" w:space="0" w:color="auto"/>
            </w:tcBorders>
            <w:shd w:val="clear" w:color="auto" w:fill="auto"/>
            <w:vAlign w:val="center"/>
            <w:hideMark/>
          </w:tcPr>
          <w:p w14:paraId="2686C18F"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近期看到关于公开征求《深圳市扶持实体经济发展促进产业用地节约集约利用的管理规定（修订征求意见稿）》意见的通告，结合企业实际情况，对于第十一条【建（构）筑物拆除条件】中关于拆除比例限制提出以下建议：</w:t>
            </w:r>
            <w:r w:rsidRPr="001937FF">
              <w:rPr>
                <w:rFonts w:ascii="仿宋_GB2312" w:eastAsia="仿宋_GB2312" w:hAnsi="仿宋_GB2312" w:cs="仿宋_GB2312"/>
                <w:color w:val="000000"/>
                <w:kern w:val="0"/>
                <w:szCs w:val="21"/>
                <w:lang w:bidi="ar"/>
              </w:rPr>
              <w:br/>
              <w:t>1、工业企业所建构筑物包含厂房主体建筑、附属设施（比如污水处理设施等）、附属建筑物（生产配套用房等），在实际产业升级中，附属设施及附属建筑物需要全部拆除并作调整。</w:t>
            </w:r>
            <w:r w:rsidRPr="001937FF">
              <w:rPr>
                <w:rFonts w:ascii="仿宋_GB2312" w:eastAsia="仿宋_GB2312" w:hAnsi="仿宋_GB2312" w:cs="仿宋_GB2312"/>
                <w:color w:val="000000"/>
                <w:kern w:val="0"/>
                <w:szCs w:val="21"/>
                <w:lang w:bidi="ar"/>
              </w:rPr>
              <w:br/>
              <w:t>因此，建议附属设施及附属建筑物的拆除不受拆除比例限制。</w:t>
            </w:r>
          </w:p>
        </w:tc>
        <w:tc>
          <w:tcPr>
            <w:tcW w:w="408" w:type="pct"/>
            <w:tcBorders>
              <w:top w:val="nil"/>
              <w:left w:val="nil"/>
              <w:bottom w:val="single" w:sz="4" w:space="0" w:color="auto"/>
              <w:right w:val="single" w:sz="4" w:space="0" w:color="auto"/>
            </w:tcBorders>
            <w:shd w:val="clear" w:color="auto" w:fill="auto"/>
            <w:vAlign w:val="center"/>
            <w:hideMark/>
          </w:tcPr>
          <w:p w14:paraId="1ABC5F19"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hyperlink r:id="rId8" w:history="1">
              <w:r w:rsidRPr="001937FF">
                <w:rPr>
                  <w:rFonts w:ascii="仿宋_GB2312" w:eastAsia="仿宋_GB2312" w:hAnsi="仿宋_GB2312" w:cs="仿宋_GB2312"/>
                  <w:color w:val="000000"/>
                  <w:kern w:val="0"/>
                  <w:szCs w:val="21"/>
                  <w:lang w:bidi="ar"/>
                </w:rPr>
                <w:t>市民：5454325**@qq.com</w:t>
              </w:r>
            </w:hyperlink>
          </w:p>
        </w:tc>
        <w:tc>
          <w:tcPr>
            <w:tcW w:w="260" w:type="pct"/>
            <w:tcBorders>
              <w:top w:val="nil"/>
              <w:left w:val="nil"/>
              <w:bottom w:val="single" w:sz="4" w:space="0" w:color="auto"/>
              <w:right w:val="single" w:sz="4" w:space="0" w:color="auto"/>
            </w:tcBorders>
            <w:shd w:val="clear" w:color="auto" w:fill="auto"/>
            <w:vAlign w:val="center"/>
            <w:hideMark/>
          </w:tcPr>
          <w:p w14:paraId="4798F4E2"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采纳</w:t>
            </w:r>
          </w:p>
        </w:tc>
        <w:tc>
          <w:tcPr>
            <w:tcW w:w="829" w:type="pct"/>
            <w:tcBorders>
              <w:top w:val="nil"/>
              <w:left w:val="nil"/>
              <w:bottom w:val="single" w:sz="4" w:space="0" w:color="auto"/>
              <w:right w:val="single" w:sz="4" w:space="0" w:color="auto"/>
            </w:tcBorders>
            <w:shd w:val="clear" w:color="auto" w:fill="auto"/>
            <w:vAlign w:val="center"/>
            <w:hideMark/>
          </w:tcPr>
          <w:p w14:paraId="51F761C9"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本次修订已对拆除比例进行优化。</w:t>
            </w:r>
          </w:p>
        </w:tc>
      </w:tr>
      <w:tr w:rsidR="001937FF" w:rsidRPr="001937FF" w14:paraId="58E0C72D" w14:textId="77777777" w:rsidTr="009F3759">
        <w:trPr>
          <w:trHeight w:val="102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372FED92"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12</w:t>
            </w:r>
          </w:p>
        </w:tc>
        <w:tc>
          <w:tcPr>
            <w:tcW w:w="3291" w:type="pct"/>
            <w:tcBorders>
              <w:top w:val="nil"/>
              <w:left w:val="nil"/>
              <w:bottom w:val="single" w:sz="4" w:space="0" w:color="auto"/>
              <w:right w:val="single" w:sz="4" w:space="0" w:color="auto"/>
            </w:tcBorders>
            <w:shd w:val="clear" w:color="auto" w:fill="auto"/>
            <w:vAlign w:val="center"/>
            <w:hideMark/>
          </w:tcPr>
          <w:p w14:paraId="44B9BF1F"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此征求意见稿第十三条仅说到产权限制，并未对产业监管面积进行具体说明；原土地出让合同中的指标是否不应纳入产业监管。</w:t>
            </w:r>
          </w:p>
        </w:tc>
        <w:tc>
          <w:tcPr>
            <w:tcW w:w="408" w:type="pct"/>
            <w:tcBorders>
              <w:top w:val="nil"/>
              <w:left w:val="nil"/>
              <w:bottom w:val="single" w:sz="4" w:space="0" w:color="auto"/>
              <w:right w:val="single" w:sz="4" w:space="0" w:color="auto"/>
            </w:tcBorders>
            <w:shd w:val="clear" w:color="auto" w:fill="auto"/>
            <w:vAlign w:val="center"/>
            <w:hideMark/>
          </w:tcPr>
          <w:p w14:paraId="24E5F43C"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市民</w:t>
            </w:r>
            <w:r w:rsidRPr="001937FF">
              <w:rPr>
                <w:rFonts w:ascii="仿宋_GB2312" w:eastAsia="仿宋_GB2312" w:hAnsi="仿宋_GB2312" w:cs="仿宋_GB2312"/>
                <w:color w:val="000000"/>
                <w:kern w:val="0"/>
                <w:szCs w:val="21"/>
                <w:lang w:bidi="ar"/>
              </w:rPr>
              <w:br/>
              <w:t>9498507**@qq.com</w:t>
            </w:r>
          </w:p>
        </w:tc>
        <w:tc>
          <w:tcPr>
            <w:tcW w:w="260" w:type="pct"/>
            <w:tcBorders>
              <w:top w:val="nil"/>
              <w:left w:val="nil"/>
              <w:bottom w:val="nil"/>
              <w:right w:val="single" w:sz="4" w:space="0" w:color="auto"/>
            </w:tcBorders>
            <w:shd w:val="clear" w:color="auto" w:fill="auto"/>
            <w:vAlign w:val="center"/>
            <w:hideMark/>
          </w:tcPr>
          <w:p w14:paraId="24D771D3"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采纳</w:t>
            </w:r>
          </w:p>
        </w:tc>
        <w:tc>
          <w:tcPr>
            <w:tcW w:w="829" w:type="pct"/>
            <w:tcBorders>
              <w:top w:val="nil"/>
              <w:left w:val="nil"/>
              <w:bottom w:val="nil"/>
              <w:right w:val="single" w:sz="4" w:space="0" w:color="auto"/>
            </w:tcBorders>
            <w:shd w:val="clear" w:color="auto" w:fill="auto"/>
            <w:vAlign w:val="center"/>
            <w:hideMark/>
          </w:tcPr>
          <w:p w14:paraId="78365ED3"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新增建筑面积建成后应按产业发展监管协议的约定使用。确有出租需要的，产业发展监管协议中应当明确约定租赁面积比例、租金标准、租赁对象及违约处置措施。</w:t>
            </w:r>
          </w:p>
        </w:tc>
      </w:tr>
      <w:tr w:rsidR="001937FF" w:rsidRPr="001937FF" w14:paraId="3BCEFC3C" w14:textId="77777777" w:rsidTr="009F3759">
        <w:trPr>
          <w:trHeight w:val="1275"/>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4245F35F"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13</w:t>
            </w:r>
          </w:p>
        </w:tc>
        <w:tc>
          <w:tcPr>
            <w:tcW w:w="3291" w:type="pct"/>
            <w:tcBorders>
              <w:top w:val="nil"/>
              <w:left w:val="nil"/>
              <w:bottom w:val="single" w:sz="4" w:space="0" w:color="auto"/>
              <w:right w:val="single" w:sz="4" w:space="0" w:color="auto"/>
            </w:tcBorders>
            <w:shd w:val="clear" w:color="auto" w:fill="auto"/>
            <w:vAlign w:val="center"/>
            <w:hideMark/>
          </w:tcPr>
          <w:p w14:paraId="10965E2E"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深圳市自2001年以来，在市场经济的引领下得到蓬勃发展，发挥了市场经济的主导作用，近年在某些允许产业用房、配套宿舍分割到间、套转让的政策影响下市场炒作工业用地开发价值导致企业租金上涨，生产制造成本增加，大量企业外迁，但并非市场经济导致的结果。房地产管理法及《民法典》中关于物权规定，土地使用者在土地使用期限内拥有转让、出租、抵押等收益权和处置权，过多权利限制导致原土地使用者积极性不高，不利于发展经济，增加产业空间。建议转让、出租价格由市场决定，而不是由政府定价，监管。建议进一步放开权利限制，权利人有如下选择：（1）选择自用，（2）按规定缴纳地价后限制整体转让，不得分割转让。（3）确实须分割转让的，最小分割单元以栋为单位，不得分割到层、套、间单元。建议增加“权利人选择限整体转让或者分割转让的，按我宗地地价测算规则的相关规定缴纳地价”</w:t>
            </w:r>
          </w:p>
        </w:tc>
        <w:tc>
          <w:tcPr>
            <w:tcW w:w="408" w:type="pct"/>
            <w:tcBorders>
              <w:top w:val="nil"/>
              <w:left w:val="nil"/>
              <w:bottom w:val="single" w:sz="4" w:space="0" w:color="auto"/>
              <w:right w:val="single" w:sz="4" w:space="0" w:color="auto"/>
            </w:tcBorders>
            <w:shd w:val="clear" w:color="auto" w:fill="auto"/>
            <w:vAlign w:val="center"/>
            <w:hideMark/>
          </w:tcPr>
          <w:p w14:paraId="73A7B5F1"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卢先生</w:t>
            </w:r>
          </w:p>
        </w:tc>
        <w:tc>
          <w:tcPr>
            <w:tcW w:w="260" w:type="pct"/>
            <w:tcBorders>
              <w:top w:val="single" w:sz="4" w:space="0" w:color="auto"/>
              <w:left w:val="nil"/>
              <w:bottom w:val="nil"/>
              <w:right w:val="single" w:sz="4" w:space="0" w:color="auto"/>
            </w:tcBorders>
            <w:shd w:val="clear" w:color="auto" w:fill="auto"/>
            <w:vAlign w:val="center"/>
            <w:hideMark/>
          </w:tcPr>
          <w:p w14:paraId="03FBD757"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解释</w:t>
            </w:r>
          </w:p>
        </w:tc>
        <w:tc>
          <w:tcPr>
            <w:tcW w:w="829" w:type="pct"/>
            <w:tcBorders>
              <w:top w:val="single" w:sz="4" w:space="0" w:color="auto"/>
              <w:left w:val="nil"/>
              <w:bottom w:val="nil"/>
              <w:right w:val="single" w:sz="4" w:space="0" w:color="auto"/>
            </w:tcBorders>
            <w:shd w:val="clear" w:color="auto" w:fill="auto"/>
            <w:vAlign w:val="center"/>
            <w:hideMark/>
          </w:tcPr>
          <w:p w14:paraId="6F80D096"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proofErr w:type="gramStart"/>
            <w:r w:rsidRPr="001937FF">
              <w:rPr>
                <w:rFonts w:ascii="仿宋_GB2312" w:eastAsia="仿宋_GB2312" w:hAnsi="仿宋_GB2312" w:cs="仿宋_GB2312"/>
                <w:color w:val="000000"/>
                <w:kern w:val="0"/>
                <w:szCs w:val="21"/>
                <w:lang w:bidi="ar"/>
              </w:rPr>
              <w:t>产业提容坚持</w:t>
            </w:r>
            <w:proofErr w:type="gramEnd"/>
            <w:r w:rsidRPr="001937FF">
              <w:rPr>
                <w:rFonts w:ascii="仿宋_GB2312" w:eastAsia="仿宋_GB2312" w:hAnsi="仿宋_GB2312" w:cs="仿宋_GB2312"/>
                <w:color w:val="000000"/>
                <w:kern w:val="0"/>
                <w:szCs w:val="21"/>
                <w:lang w:bidi="ar"/>
              </w:rPr>
              <w:t>以自用为主的原则，新增建筑部分产权限制条件为不得转让。</w:t>
            </w:r>
          </w:p>
        </w:tc>
      </w:tr>
      <w:tr w:rsidR="001937FF" w:rsidRPr="001937FF" w14:paraId="56A3C585" w14:textId="77777777" w:rsidTr="009F3759">
        <w:trPr>
          <w:trHeight w:val="162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0EAF5973"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lastRenderedPageBreak/>
              <w:t>14</w:t>
            </w:r>
          </w:p>
        </w:tc>
        <w:tc>
          <w:tcPr>
            <w:tcW w:w="3291" w:type="pct"/>
            <w:tcBorders>
              <w:top w:val="nil"/>
              <w:left w:val="nil"/>
              <w:bottom w:val="single" w:sz="4" w:space="0" w:color="auto"/>
              <w:right w:val="single" w:sz="4" w:space="0" w:color="auto"/>
            </w:tcBorders>
            <w:shd w:val="clear" w:color="auto" w:fill="auto"/>
            <w:vAlign w:val="center"/>
            <w:hideMark/>
          </w:tcPr>
          <w:p w14:paraId="78074779"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修订版第十八条将“区政府批准产业发展监管协议和贡献建筑物处置方案”作为“启动规划调整方案的公示、审批等工作”前置条件，较原政策发生了明显改变，因此，可能出现本办法实施时已开展规划调整公示而区政府还未批准产业发展监管协议和贡献建筑物处置方案的情况，如仍按原规定执行，产业用地容积调整后，新增的建筑面积不能出租或仅允许部分出租。考虑到目前的经济形势，建议增补一款已开展规划调整公示的项目在后续审批监管协议时租赁要求可以参照修订稿执行。</w:t>
            </w:r>
            <w:r w:rsidRPr="001937FF">
              <w:rPr>
                <w:rFonts w:ascii="仿宋_GB2312" w:eastAsia="仿宋_GB2312" w:hAnsi="仿宋_GB2312" w:cs="仿宋_GB2312"/>
                <w:color w:val="000000"/>
                <w:kern w:val="0"/>
                <w:szCs w:val="21"/>
                <w:lang w:bidi="ar"/>
              </w:rPr>
              <w:br/>
              <w:t>第二十四条，“本规定施行前已经主管部门派出机构审批同意容积调整的，按原有方案执行。”建议修改为“本规定施行前已经主管部门派出机构审批同意容积调整的，按原有方案执行，新增建筑面积建成后应按产业发展监管协议的约定使用，确有出租需要的，产业发展监管协议中应当明确约定租赁面积比例、租金标准、租赁对象及违约处置措施。”</w:t>
            </w:r>
          </w:p>
        </w:tc>
        <w:tc>
          <w:tcPr>
            <w:tcW w:w="408" w:type="pct"/>
            <w:tcBorders>
              <w:top w:val="nil"/>
              <w:left w:val="nil"/>
              <w:bottom w:val="single" w:sz="4" w:space="0" w:color="auto"/>
              <w:right w:val="single" w:sz="4" w:space="0" w:color="auto"/>
            </w:tcBorders>
            <w:shd w:val="clear" w:color="auto" w:fill="auto"/>
            <w:vAlign w:val="center"/>
            <w:hideMark/>
          </w:tcPr>
          <w:p w14:paraId="4A4DDDB9"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市民：jean-a**@qq.com</w:t>
            </w:r>
          </w:p>
        </w:tc>
        <w:tc>
          <w:tcPr>
            <w:tcW w:w="260" w:type="pct"/>
            <w:tcBorders>
              <w:top w:val="single" w:sz="4" w:space="0" w:color="auto"/>
              <w:left w:val="nil"/>
              <w:bottom w:val="single" w:sz="4" w:space="0" w:color="auto"/>
              <w:right w:val="single" w:sz="4" w:space="0" w:color="auto"/>
            </w:tcBorders>
            <w:shd w:val="clear" w:color="auto" w:fill="auto"/>
            <w:vAlign w:val="center"/>
            <w:hideMark/>
          </w:tcPr>
          <w:p w14:paraId="283FEA49"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采纳</w:t>
            </w:r>
          </w:p>
        </w:tc>
        <w:tc>
          <w:tcPr>
            <w:tcW w:w="829" w:type="pct"/>
            <w:tcBorders>
              <w:top w:val="single" w:sz="4" w:space="0" w:color="auto"/>
              <w:left w:val="nil"/>
              <w:bottom w:val="single" w:sz="4" w:space="0" w:color="auto"/>
              <w:right w:val="single" w:sz="4" w:space="0" w:color="auto"/>
            </w:tcBorders>
            <w:shd w:val="clear" w:color="auto" w:fill="auto"/>
            <w:vAlign w:val="center"/>
            <w:hideMark/>
          </w:tcPr>
          <w:p w14:paraId="370BB176"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已增加相关表述。</w:t>
            </w:r>
          </w:p>
        </w:tc>
      </w:tr>
      <w:tr w:rsidR="001937FF" w:rsidRPr="001937FF" w14:paraId="28FCD58F" w14:textId="77777777" w:rsidTr="009F3759">
        <w:trPr>
          <w:trHeight w:val="51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63DD6E5C"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15</w:t>
            </w:r>
          </w:p>
        </w:tc>
        <w:tc>
          <w:tcPr>
            <w:tcW w:w="3291" w:type="pct"/>
            <w:tcBorders>
              <w:top w:val="nil"/>
              <w:left w:val="nil"/>
              <w:bottom w:val="single" w:sz="4" w:space="0" w:color="auto"/>
              <w:right w:val="single" w:sz="4" w:space="0" w:color="auto"/>
            </w:tcBorders>
            <w:shd w:val="clear" w:color="auto" w:fill="auto"/>
            <w:vAlign w:val="center"/>
            <w:hideMark/>
          </w:tcPr>
          <w:p w14:paraId="40DFA09B"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对于确因企业技术改造、扩大产能等产业发展需要，拆除的建（构）筑</w:t>
            </w:r>
            <w:proofErr w:type="gramStart"/>
            <w:r w:rsidRPr="001937FF">
              <w:rPr>
                <w:rFonts w:ascii="仿宋_GB2312" w:eastAsia="仿宋_GB2312" w:hAnsi="仿宋_GB2312" w:cs="仿宋_GB2312"/>
                <w:color w:val="000000"/>
                <w:kern w:val="0"/>
                <w:szCs w:val="21"/>
                <w:lang w:bidi="ar"/>
              </w:rPr>
              <w:t>物建成</w:t>
            </w:r>
            <w:proofErr w:type="gramEnd"/>
            <w:r w:rsidRPr="001937FF">
              <w:rPr>
                <w:rFonts w:ascii="仿宋_GB2312" w:eastAsia="仿宋_GB2312" w:hAnsi="仿宋_GB2312" w:cs="仿宋_GB2312"/>
                <w:color w:val="000000"/>
                <w:kern w:val="0"/>
                <w:szCs w:val="21"/>
                <w:lang w:bidi="ar"/>
              </w:rPr>
              <w:t>时间或拆除面积超出本规定第十一条，或者按照本规定办理容积调整后再次申请容积调整的，建议由</w:t>
            </w:r>
            <w:proofErr w:type="gramStart"/>
            <w:r w:rsidRPr="001937FF">
              <w:rPr>
                <w:rFonts w:ascii="仿宋_GB2312" w:eastAsia="仿宋_GB2312" w:hAnsi="仿宋_GB2312" w:cs="仿宋_GB2312"/>
                <w:color w:val="000000"/>
                <w:kern w:val="0"/>
                <w:szCs w:val="21"/>
                <w:lang w:bidi="ar"/>
              </w:rPr>
              <w:t>区产业</w:t>
            </w:r>
            <w:proofErr w:type="gramEnd"/>
            <w:r w:rsidRPr="001937FF">
              <w:rPr>
                <w:rFonts w:ascii="仿宋_GB2312" w:eastAsia="仿宋_GB2312" w:hAnsi="仿宋_GB2312" w:cs="仿宋_GB2312"/>
                <w:color w:val="000000"/>
                <w:kern w:val="0"/>
                <w:szCs w:val="21"/>
                <w:lang w:bidi="ar"/>
              </w:rPr>
              <w:t>主管部门组织对调整的合理性、必要性进行充分论证。</w:t>
            </w:r>
          </w:p>
        </w:tc>
        <w:tc>
          <w:tcPr>
            <w:tcW w:w="408" w:type="pct"/>
            <w:tcBorders>
              <w:top w:val="nil"/>
              <w:left w:val="nil"/>
              <w:bottom w:val="single" w:sz="4" w:space="0" w:color="auto"/>
              <w:right w:val="single" w:sz="4" w:space="0" w:color="auto"/>
            </w:tcBorders>
            <w:shd w:val="clear" w:color="auto" w:fill="auto"/>
            <w:vAlign w:val="center"/>
            <w:hideMark/>
          </w:tcPr>
          <w:p w14:paraId="5E212456"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卢先生</w:t>
            </w:r>
          </w:p>
        </w:tc>
        <w:tc>
          <w:tcPr>
            <w:tcW w:w="260" w:type="pct"/>
            <w:tcBorders>
              <w:top w:val="nil"/>
              <w:left w:val="nil"/>
              <w:bottom w:val="single" w:sz="4" w:space="0" w:color="auto"/>
              <w:right w:val="single" w:sz="4" w:space="0" w:color="auto"/>
            </w:tcBorders>
            <w:shd w:val="clear" w:color="auto" w:fill="auto"/>
            <w:vAlign w:val="center"/>
            <w:hideMark/>
          </w:tcPr>
          <w:p w14:paraId="387BE2C4"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采纳</w:t>
            </w:r>
          </w:p>
        </w:tc>
        <w:tc>
          <w:tcPr>
            <w:tcW w:w="829" w:type="pct"/>
            <w:tcBorders>
              <w:top w:val="nil"/>
              <w:left w:val="nil"/>
              <w:bottom w:val="single" w:sz="4" w:space="0" w:color="auto"/>
              <w:right w:val="single" w:sz="4" w:space="0" w:color="auto"/>
            </w:tcBorders>
            <w:shd w:val="clear" w:color="auto" w:fill="auto"/>
            <w:vAlign w:val="center"/>
            <w:hideMark/>
          </w:tcPr>
          <w:p w14:paraId="03B745C9"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本次修订已对拆除比例进行优化。</w:t>
            </w:r>
          </w:p>
        </w:tc>
      </w:tr>
      <w:tr w:rsidR="001937FF" w:rsidRPr="001937FF" w14:paraId="1D43D2EC" w14:textId="77777777" w:rsidTr="009F3759">
        <w:trPr>
          <w:trHeight w:val="204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0699A8DE"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16</w:t>
            </w:r>
          </w:p>
        </w:tc>
        <w:tc>
          <w:tcPr>
            <w:tcW w:w="3291" w:type="pct"/>
            <w:tcBorders>
              <w:top w:val="nil"/>
              <w:left w:val="nil"/>
              <w:bottom w:val="single" w:sz="4" w:space="0" w:color="auto"/>
              <w:right w:val="single" w:sz="4" w:space="0" w:color="auto"/>
            </w:tcBorders>
            <w:shd w:val="clear" w:color="auto" w:fill="auto"/>
            <w:vAlign w:val="center"/>
            <w:hideMark/>
          </w:tcPr>
          <w:p w14:paraId="4FEFFEED"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建议：一是适用范围增加“原历史性合法建筑已拆除或部分拆除的空地”类型。</w:t>
            </w:r>
            <w:r w:rsidRPr="001937FF">
              <w:rPr>
                <w:rFonts w:ascii="仿宋_GB2312" w:eastAsia="仿宋_GB2312" w:hAnsi="仿宋_GB2312" w:cs="仿宋_GB2312"/>
                <w:color w:val="000000"/>
                <w:kern w:val="0"/>
                <w:szCs w:val="21"/>
                <w:lang w:bidi="ar"/>
              </w:rPr>
              <w:br/>
              <w:t>二是实施路径增加“原历史性合法建筑已拆除或部分拆除的空地建设”、“对早期建设低层钢构铁皮厂房及配套建（构）筑物进行全部拆除规划重建，不受第十一条限制”、“建（构）筑物已拆除及早期建设低层钢构可拆除重新规划建设不得改变用途”。</w:t>
            </w:r>
            <w:r w:rsidRPr="001937FF">
              <w:rPr>
                <w:rFonts w:ascii="仿宋_GB2312" w:eastAsia="仿宋_GB2312" w:hAnsi="仿宋_GB2312" w:cs="仿宋_GB2312"/>
                <w:color w:val="000000"/>
                <w:kern w:val="0"/>
                <w:szCs w:val="21"/>
                <w:lang w:bidi="ar"/>
              </w:rPr>
              <w:br/>
              <w:t>三是针对原历史性合法建筑已拆除的处理程序、办法等予以明确并将本类案例纳入管理规定，提高土地利用率及产生工业价值。具体意见：通过擅自拆除历史性合法建筑物的政策性罚款、注销已批</w:t>
            </w:r>
            <w:r w:rsidRPr="001937FF">
              <w:rPr>
                <w:rFonts w:ascii="仿宋_GB2312" w:eastAsia="仿宋_GB2312" w:hAnsi="仿宋_GB2312" w:cs="仿宋_GB2312"/>
                <w:color w:val="000000"/>
                <w:kern w:val="0"/>
                <w:szCs w:val="21"/>
                <w:lang w:bidi="ar"/>
              </w:rPr>
              <w:br/>
              <w:t>准的合法批复，明确处理办法及流程，有效的提高土地利用价值。</w:t>
            </w:r>
            <w:r w:rsidRPr="001937FF">
              <w:rPr>
                <w:rFonts w:ascii="仿宋_GB2312" w:eastAsia="仿宋_GB2312" w:hAnsi="仿宋_GB2312" w:cs="仿宋_GB2312"/>
                <w:color w:val="000000"/>
                <w:kern w:val="0"/>
                <w:szCs w:val="21"/>
                <w:lang w:bidi="ar"/>
              </w:rPr>
              <w:br/>
              <w:t>四是对早期建设低层钢构铁皮厂房及配套建（构）筑物进行全部拆除规划重建，不受第十一条限制。权力人自愿申报，对原早期建设标准较低、土地利用低，在不改变面积及用途情况下可申请全部拆除，重新整体规划。</w:t>
            </w:r>
          </w:p>
        </w:tc>
        <w:tc>
          <w:tcPr>
            <w:tcW w:w="408" w:type="pct"/>
            <w:tcBorders>
              <w:top w:val="nil"/>
              <w:left w:val="nil"/>
              <w:bottom w:val="single" w:sz="4" w:space="0" w:color="auto"/>
              <w:right w:val="single" w:sz="4" w:space="0" w:color="auto"/>
            </w:tcBorders>
            <w:shd w:val="clear" w:color="auto" w:fill="auto"/>
            <w:vAlign w:val="center"/>
            <w:hideMark/>
          </w:tcPr>
          <w:p w14:paraId="45139F5E"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hyperlink r:id="rId9" w:history="1">
              <w:r w:rsidRPr="001937FF">
                <w:rPr>
                  <w:rFonts w:ascii="仿宋_GB2312" w:eastAsia="仿宋_GB2312" w:hAnsi="仿宋_GB2312" w:cs="仿宋_GB2312"/>
                  <w:color w:val="000000"/>
                  <w:kern w:val="0"/>
                  <w:szCs w:val="21"/>
                  <w:lang w:bidi="ar"/>
                </w:rPr>
                <w:t>市民：12393094**@qq.com</w:t>
              </w:r>
            </w:hyperlink>
          </w:p>
        </w:tc>
        <w:tc>
          <w:tcPr>
            <w:tcW w:w="260" w:type="pct"/>
            <w:tcBorders>
              <w:top w:val="nil"/>
              <w:left w:val="nil"/>
              <w:bottom w:val="single" w:sz="4" w:space="0" w:color="auto"/>
              <w:right w:val="single" w:sz="4" w:space="0" w:color="auto"/>
            </w:tcBorders>
            <w:shd w:val="clear" w:color="auto" w:fill="auto"/>
            <w:vAlign w:val="center"/>
            <w:hideMark/>
          </w:tcPr>
          <w:p w14:paraId="1CD5A7C0" w14:textId="77777777" w:rsidR="001937FF" w:rsidRPr="001937FF" w:rsidRDefault="001937FF" w:rsidP="001937FF">
            <w:pPr>
              <w:widowControl/>
              <w:jc w:val="center"/>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部分采纳</w:t>
            </w:r>
          </w:p>
        </w:tc>
        <w:tc>
          <w:tcPr>
            <w:tcW w:w="829" w:type="pct"/>
            <w:tcBorders>
              <w:top w:val="nil"/>
              <w:left w:val="nil"/>
              <w:bottom w:val="single" w:sz="4" w:space="0" w:color="auto"/>
              <w:right w:val="single" w:sz="4" w:space="0" w:color="auto"/>
            </w:tcBorders>
            <w:shd w:val="clear" w:color="auto" w:fill="auto"/>
            <w:vAlign w:val="center"/>
            <w:hideMark/>
          </w:tcPr>
          <w:p w14:paraId="4B9138FB" w14:textId="77777777" w:rsidR="001937FF" w:rsidRPr="001937FF" w:rsidRDefault="001937FF" w:rsidP="001937FF">
            <w:pPr>
              <w:widowControl/>
              <w:jc w:val="left"/>
              <w:textAlignment w:val="center"/>
              <w:rPr>
                <w:rFonts w:ascii="仿宋_GB2312" w:eastAsia="仿宋_GB2312" w:hAnsi="仿宋_GB2312" w:cs="仿宋_GB2312"/>
                <w:color w:val="000000"/>
                <w:kern w:val="0"/>
                <w:szCs w:val="21"/>
                <w:lang w:bidi="ar"/>
              </w:rPr>
            </w:pPr>
            <w:r w:rsidRPr="001937FF">
              <w:rPr>
                <w:rFonts w:ascii="仿宋_GB2312" w:eastAsia="仿宋_GB2312" w:hAnsi="仿宋_GB2312" w:cs="仿宋_GB2312"/>
                <w:color w:val="000000"/>
                <w:kern w:val="0"/>
                <w:szCs w:val="21"/>
                <w:lang w:bidi="ar"/>
              </w:rPr>
              <w:t>本次修订已对拆除比例进行优化。具体</w:t>
            </w:r>
            <w:proofErr w:type="gramStart"/>
            <w:r w:rsidRPr="001937FF">
              <w:rPr>
                <w:rFonts w:ascii="仿宋_GB2312" w:eastAsia="仿宋_GB2312" w:hAnsi="仿宋_GB2312" w:cs="仿宋_GB2312"/>
                <w:color w:val="000000"/>
                <w:kern w:val="0"/>
                <w:szCs w:val="21"/>
                <w:lang w:bidi="ar"/>
              </w:rPr>
              <w:t>个案需</w:t>
            </w:r>
            <w:proofErr w:type="gramEnd"/>
            <w:r w:rsidRPr="001937FF">
              <w:rPr>
                <w:rFonts w:ascii="仿宋_GB2312" w:eastAsia="仿宋_GB2312" w:hAnsi="仿宋_GB2312" w:cs="仿宋_GB2312"/>
                <w:color w:val="000000"/>
                <w:kern w:val="0"/>
                <w:szCs w:val="21"/>
                <w:lang w:bidi="ar"/>
              </w:rPr>
              <w:t>结合项目实际情况进行</w:t>
            </w:r>
            <w:proofErr w:type="gramStart"/>
            <w:r w:rsidRPr="001937FF">
              <w:rPr>
                <w:rFonts w:ascii="仿宋_GB2312" w:eastAsia="仿宋_GB2312" w:hAnsi="仿宋_GB2312" w:cs="仿宋_GB2312"/>
                <w:color w:val="000000"/>
                <w:kern w:val="0"/>
                <w:szCs w:val="21"/>
                <w:lang w:bidi="ar"/>
              </w:rPr>
              <w:t>研</w:t>
            </w:r>
            <w:proofErr w:type="gramEnd"/>
            <w:r w:rsidRPr="001937FF">
              <w:rPr>
                <w:rFonts w:ascii="仿宋_GB2312" w:eastAsia="仿宋_GB2312" w:hAnsi="仿宋_GB2312" w:cs="仿宋_GB2312"/>
                <w:color w:val="000000"/>
                <w:kern w:val="0"/>
                <w:szCs w:val="21"/>
                <w:lang w:bidi="ar"/>
              </w:rPr>
              <w:t>判。</w:t>
            </w:r>
          </w:p>
        </w:tc>
      </w:tr>
    </w:tbl>
    <w:p w14:paraId="4DFF6420" w14:textId="77777777" w:rsidR="001937FF" w:rsidRPr="001937FF" w:rsidRDefault="001937FF" w:rsidP="001937FF">
      <w:pPr>
        <w:rPr>
          <w:rFonts w:ascii="Times New Roman" w:eastAsia="宋体" w:hAnsi="Times New Roman" w:cs="Times New Roman" w:hint="eastAsia"/>
          <w:szCs w:val="24"/>
        </w:rPr>
      </w:pPr>
    </w:p>
    <w:p w14:paraId="3DC76352" w14:textId="77777777" w:rsidR="00F27BC6" w:rsidRPr="001937FF" w:rsidRDefault="00F27BC6"/>
    <w:sectPr w:rsidR="00F27BC6" w:rsidRPr="001937FF">
      <w:pgSz w:w="23814" w:h="16839" w:orient="landscape"/>
      <w:pgMar w:top="720" w:right="720" w:bottom="720" w:left="720" w:header="851" w:footer="850"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FF"/>
    <w:rsid w:val="001937FF"/>
    <w:rsid w:val="00F27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6735"/>
  <w15:chartTrackingRefBased/>
  <w15:docId w15:val="{0401BF21-AD8A-4702-A30B-4E4DC477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45432555@qq.com" TargetMode="External"/><Relationship Id="rId3" Type="http://schemas.openxmlformats.org/officeDocument/2006/relationships/settings" Target="settings.xml"/><Relationship Id="rId7" Type="http://schemas.openxmlformats.org/officeDocument/2006/relationships/hyperlink" Target="mailto:1612090335@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330894889@qq.com" TargetMode="External"/><Relationship Id="rId11" Type="http://schemas.openxmlformats.org/officeDocument/2006/relationships/theme" Target="theme/theme1.xml"/><Relationship Id="rId5" Type="http://schemas.openxmlformats.org/officeDocument/2006/relationships/hyperlink" Target="mailto:330894889@qq.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23930949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6EEA6-8416-4940-825E-6DB9BEDC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FZ</cp:lastModifiedBy>
  <cp:revision>1</cp:revision>
  <dcterms:created xsi:type="dcterms:W3CDTF">2024-04-10T03:21:00Z</dcterms:created>
  <dcterms:modified xsi:type="dcterms:W3CDTF">2024-04-10T03:22:00Z</dcterms:modified>
</cp:coreProperties>
</file>