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5</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20230220</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关于加强深港海洋合作推动全球海洋中心城市建设的提案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杨军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市科技创新委员会,市教育局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MENON ECONOMICS和DNV.LG两家国际海洋组织联合发布《全球海洋中心城市报告（The Leading Maritime Capitals of The World）》。该报告采用航运中心、海洋金融与法律、海洋技术、港口与物流、竞争力与吸引力等五大类指标，对国际知名的海洋中心城市进行评价并作出排名。香港已连续五期入选了全球海洋中心城市前十的行列，且有3次进入了前五，在国际上具有领先的地位。最新的2022年报告中，我国有9个城市入选了50个全球海洋中心城市的行列。纵观入选城市，其必须在五个方面都能够均衡发展且某一维度具有更为突出的价值。作为国家原始创新前沿阵地的深圳要入选全球海洋中心城市,除在五大类指标方面稳步前进外，更需在海洋技术这一维度集中发力。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深圳具有毗邻香港的区位优势，深港间业已搭建一定的沟通协调机制，这可以大大降低深圳的制度学习成本和信息获得成本，进而推动两地在海洋领域的资源整合和协同创新。但目前深港海洋合作仍存在以下问题：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其一，虽然深圳已有一定的海洋科技产业基础，但缺乏与香港的深度对接，深港尚未能形成明确的分工和上下游关系；其二，深圳的海洋科技在育种方面还处于初期阶段；其三，科研院所的区域协同力量有待整合。目前大湾区内的海洋科研合作多以技术联盟（虚拟）、临时考察、合作小组等形式为主，缺乏实质性的合作机构。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由此可见，深港在海洋科技方面的合作还有较大的提升空间。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建议一、在海洋中心城市的指标领域，需进一步明确深港的协同与分工，充分发挥各自优势，实现区域共赢。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每个海洋产业都有其完整的产业链，深港作为辐射粤港澳大湾区的核心动力，不具备也没有必要实现产业链的全覆盖，而是应该选择自身有比较优势且高附加价值的产业区段。深圳东部的海水水质长年维持在一类水平，得益于天然优越的海洋生态条件，东部海域培育的渔种具有极其广泛的适应性。在科技育种上享有极大发展潜力的深圳，结合香港对外金融、法律和港口物流等优势条件进行销售端的链接，将最大程度发挥两者的价值。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建议二、深圳在海洋科技方面加强育种等基础性科学的研究。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基础研究的重要性不言而喻，但也可能面临研究周期长、成果转化风险大、短期收益低等特点。种业作为水产养殖的“芯片”，是渔业基础性的核心产业，关系到国家粮食安全和民生基本需求。我国在育种的技术创新和科学精准效率上与国际渔业大国还有一定差距，仍然面临不少“卡脖子”难题。结合《关于勇当海洋强国尖兵 加快建设全球海洋中心城市的实施方案（2020—2025年）》和《深圳市现代渔业发展规划（2022—2025）》等规划要求，深圳要成为粤港澳大湾区的“种业硅谷”、支撑广东省成为“粤海粮仓”，就必须加强海洋科技育种等基础性科学的研究。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建议三、深港之间要加强实质性合作机构的建设。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补充说明：中国农业科学院深圳农业基因组研究所（以下简称“基因组所”）成立于 2014 年，建所以来，基因组所已经取得了一定的科研成果，在育种方面培育了4个国审品种和13个省审品种。根据实地调研，基因组所也有强烈的意愿与相关科研机构或企业进行合作，共同推进渔业育种方向的海洋技术研究。粤港澳大湾区范围内，香港高校在海洋相关的研究处于较高水平，香港大学、香港中文大学和香港科技大学在地球和海洋科学2022年QS专业世界排名分别为73、121和122。因此，类似于基因组所等研究机构建立与香港大学、香港中文大学和香港科技大学等海洋类知名高校在海洋生物、海洋生态环境、海洋大数据等方面的合作，共建渔业创新研究中心等合作结构，将大大推进我国在育种方面的海洋科技力量。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