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2</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20230028</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关于加快推进三旧改造促进深圳高质量发展的提案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马少福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市发展和改革委员会,市工业和信息化局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1月28日春节过后上班第一天就召开了全省高质量发展大会，黄坤明书记就提出要：要加快推进三旧改造，加快投资，促进高质量发展。深圳目前旧改在管理体制，审批速度等方面，还存在着很多改进空间。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建议一、简化旧改项目审批流程，国企民企一视同仁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旧改项目周期长环节多，一个项目从启动到建设完成动辄需要8-10年，快的也要5-6年才能开始动工，建议政府有关部门涉及旧改项目的行政审批的各个环节要有一个切实可行的时间表。最近深圳在推行的每年增加2000万平米优质产业空间的工业上楼项目，政策上国企民企要一视同仁，尤其是一些项目民企早期已经参与期中，目前能否和国企一样享受工业上楼的新政策。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建议二、要加强政策市场调节，激发投资活力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政府应多渠道拓展融资渠道，并按照旧改的要求，制定针对性的政策，鼓励企业参与投资，政府可以采取财政补助、投资减免税等措施，鼓励企业开展社会资本和民间资本参与旧改，激发市场的活力和积极性，加快改造的进程。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建议三、重点支持老旧小区改造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老旧小区是深圳发展中存在的隐性痛点，是影响深圳社会经济发展的主要因素之一。既存在一定的安全隐患，又影响深圳形象。因此，深圳市政府应当充分支持老旧小区改造，并要求改造活动必须重点考虑安全、环境、文化等方面的要求，以确保改造的质量和效果。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建议四、“工改工“项目中涉及土壤修复与治理要切实可行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由于历史原因，深圳市很多地块涉及电镀行业存在重金属污染的情况。导致很多从事“工改工”投资建设高新科技产业园区的企业踩雷，投入了大量人力、物力、财力项目又推进不了，严重影响市场投资环境和企业家投资的信心。建议：将有可能涉及土壤污染的地块检测一遍，发现有问题的地块追查污染企业，按照谁污染谁治理的原则马上治理。对于因土壤污染搁置的项目，政府应按照尊重历史，本着实事求是的原则，采取灵活的方法，积极寻求解决办法，加快推进高新科技产业园区落地。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