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[坝光地区]法定图则DY07-04地块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规划调整方案</w:t>
      </w:r>
    </w:p>
    <w:p>
      <w:pPr>
        <w:jc w:val="center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r>
        <w:drawing>
          <wp:inline distT="0" distB="0" distL="0" distR="0">
            <wp:extent cx="3838575" cy="3065780"/>
            <wp:effectExtent l="0" t="0" r="952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" r="50020"/>
                    <a:stretch>
                      <a:fillRect/>
                    </a:stretch>
                  </pic:blipFill>
                  <pic:spPr>
                    <a:xfrm>
                      <a:off x="0" y="0"/>
                      <a:ext cx="3893659" cy="310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612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679"/>
        <w:gridCol w:w="811"/>
        <w:gridCol w:w="1219"/>
        <w:gridCol w:w="788"/>
        <w:gridCol w:w="788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地块编号</w:t>
            </w:r>
          </w:p>
        </w:tc>
        <w:tc>
          <w:tcPr>
            <w:tcW w:w="679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用地代码</w:t>
            </w:r>
          </w:p>
        </w:tc>
        <w:tc>
          <w:tcPr>
            <w:tcW w:w="811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用地</w:t>
            </w:r>
          </w:p>
          <w:p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219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用地面积（㎡）</w:t>
            </w:r>
          </w:p>
        </w:tc>
        <w:tc>
          <w:tcPr>
            <w:tcW w:w="788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容积率</w:t>
            </w:r>
          </w:p>
        </w:tc>
        <w:tc>
          <w:tcPr>
            <w:tcW w:w="788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配套设施项目名称</w:t>
            </w:r>
          </w:p>
        </w:tc>
        <w:tc>
          <w:tcPr>
            <w:tcW w:w="906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DY07-04</w:t>
            </w:r>
          </w:p>
        </w:tc>
        <w:tc>
          <w:tcPr>
            <w:tcW w:w="679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M0</w:t>
            </w:r>
          </w:p>
        </w:tc>
        <w:tc>
          <w:tcPr>
            <w:tcW w:w="811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新型产业用地</w:t>
            </w:r>
          </w:p>
        </w:tc>
        <w:tc>
          <w:tcPr>
            <w:tcW w:w="1219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43351</w:t>
            </w:r>
          </w:p>
        </w:tc>
        <w:tc>
          <w:tcPr>
            <w:tcW w:w="788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88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906" w:type="dxa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</w:tbl>
    <w:p/>
    <w:p>
      <w:r>
        <w:drawing>
          <wp:inline distT="0" distB="0" distL="0" distR="0">
            <wp:extent cx="3816350" cy="306578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34" r="9"/>
                    <a:stretch>
                      <a:fillRect/>
                    </a:stretch>
                  </pic:blipFill>
                  <pic:spPr>
                    <a:xfrm>
                      <a:off x="0" y="0"/>
                      <a:ext cx="3817452" cy="306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4"/>
        <w:tblW w:w="63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683"/>
        <w:gridCol w:w="734"/>
        <w:gridCol w:w="940"/>
        <w:gridCol w:w="693"/>
        <w:gridCol w:w="796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地块编号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用地代码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用地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用地面积（㎡）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容积率</w:t>
            </w:r>
          </w:p>
        </w:tc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配套设施项目名称</w:t>
            </w: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DY07-04</w:t>
            </w:r>
            <w:r>
              <w:rPr>
                <w:rFonts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-01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M0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新型产业用地</w:t>
            </w: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17548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Y07-04-02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GIC5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教育设施用地</w:t>
            </w: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5996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九年一贯制学校</w:t>
            </w:r>
          </w:p>
        </w:tc>
        <w:tc>
          <w:tcPr>
            <w:tcW w:w="12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应落实核事故场外应急影响评估报告相关要求</w:t>
            </w:r>
          </w:p>
        </w:tc>
      </w:tr>
    </w:tbl>
    <w:p>
      <w:pPr>
        <w:rPr>
          <w:rFonts w:hint="eastAsia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DE"/>
    <w:rsid w:val="00097E75"/>
    <w:rsid w:val="000A22DE"/>
    <w:rsid w:val="00A75860"/>
    <w:rsid w:val="00CB1698"/>
    <w:rsid w:val="00F908B7"/>
    <w:rsid w:val="5F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Grid Table Light"/>
    <w:basedOn w:val="3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7">
    <w:name w:val="Grid Table 1 Light Accent 5"/>
    <w:basedOn w:val="3"/>
    <w:qFormat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8">
    <w:name w:val="Grid Table 1 Light Accent 4"/>
    <w:basedOn w:val="3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">
    <w:name w:val="Grid Table 1 Light Accent 3"/>
    <w:basedOn w:val="3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Grid Table 1 Light"/>
    <w:basedOn w:val="3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2023-12-14T09:57:00Z</dcterms:created>
  <dc:creator>林靖翔</dc:creator>
  <cp:lastModifiedBy>liuyj</cp:lastModifiedBy>
  <cp:lastPrinted>2023-12-14T11:17:06Z</cp:lastPrinted>
  <dcterms:modified xsi:type="dcterms:W3CDTF">2023-12-14T11:17:08Z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37EC6192A600C81CB4737A6574CA8221</vt:lpwstr>
  </property>
</Properties>
</file>