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spacing w:line="560" w:lineRule="exact"/>
      </w:pPr>
    </w:p>
    <w:tbl>
      <w:tblPr>
        <w:tblStyle w:val="7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02"/>
        <w:gridCol w:w="734"/>
        <w:gridCol w:w="1109"/>
        <w:gridCol w:w="1275"/>
        <w:gridCol w:w="158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58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项目名称（类别）</w:t>
            </w:r>
          </w:p>
        </w:tc>
        <w:tc>
          <w:tcPr>
            <w:tcW w:w="73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立项年份</w:t>
            </w:r>
          </w:p>
        </w:tc>
        <w:tc>
          <w:tcPr>
            <w:tcW w:w="1109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专项资金支持额度（万元）</w:t>
            </w: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15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参与单位</w:t>
            </w:r>
          </w:p>
        </w:tc>
        <w:tc>
          <w:tcPr>
            <w:tcW w:w="1227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专家验收结论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深远海高性能海上风电运维船与核心装备研发与应用示范（重点）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中集海洋工程有限公司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华南理工大学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中广核新能源海上风电（汕尾）有限公司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、广州船舶工业有限公司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复杂井筒多相流动安全保障技术研发（重点）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广东海洋大学深圳研究院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广州海洋地质调查局、中国石油大学（华东）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</w:tbl>
    <w:p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2YxMTM4ZmNhNTM2YzBlMTE3MWJiYjU4ZGIxNWYifQ=="/>
  </w:docVars>
  <w:rsids>
    <w:rsidRoot w:val="00FB74CA"/>
    <w:rsid w:val="00012A1B"/>
    <w:rsid w:val="00145EBE"/>
    <w:rsid w:val="003D35BB"/>
    <w:rsid w:val="004D2571"/>
    <w:rsid w:val="00B726BA"/>
    <w:rsid w:val="00F53DF4"/>
    <w:rsid w:val="00FB74CA"/>
    <w:rsid w:val="025C3986"/>
    <w:rsid w:val="14DF67B9"/>
    <w:rsid w:val="47E27FB5"/>
    <w:rsid w:val="785F1F8A"/>
    <w:rsid w:val="79F44431"/>
    <w:rsid w:val="7D0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3</TotalTime>
  <ScaleCrop>false</ScaleCrop>
  <LinksUpToDate>false</LinksUpToDate>
  <CharactersWithSpaces>392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2023-05-05T10:08:00Z</dcterms:created>
  <dc:creator>FZ</dc:creator>
  <cp:lastModifiedBy>Zhaodong Chen</cp:lastModifiedBy>
  <cp:lastPrinted>2023-10-19T03:33:00Z</cp:lastPrinted>
  <dcterms:modified xsi:type="dcterms:W3CDTF">2023-12-05T09:09:28Z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912DA5AFA06041FE9481271DBC057017_13</vt:lpwstr>
  </property>
</Properties>
</file>