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0" w:line="540" w:lineRule="exact"/>
        <w:ind w:right="284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bookmarkStart w:id="0" w:name="neibumg"/>
      <w:bookmarkEnd w:id="0"/>
    </w:p>
    <w:p>
      <w:pPr>
        <w:spacing w:line="54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right="210" w:rightChars="100"/>
        <w:jc w:val="right"/>
        <w:rPr>
          <w:rFonts w:hint="eastAsia" w:ascii="仿宋_GB2312" w:eastAsia="仿宋_GB2312"/>
          <w:sz w:val="32"/>
        </w:rPr>
      </w:pPr>
      <w:bookmarkStart w:id="1" w:name="DOC_FLAG"/>
      <w:r>
        <w:rPr>
          <w:rFonts w:hint="eastAsia" w:ascii="仿宋_GB2312" w:eastAsia="仿宋_GB2312"/>
          <w:sz w:val="32"/>
          <w:lang w:eastAsia="zh-CN"/>
        </w:rPr>
        <w:t>深规划资源函</w:t>
      </w:r>
      <w:bookmarkEnd w:id="1"/>
      <w:r>
        <w:rPr>
          <w:rFonts w:hint="eastAsia" w:ascii="仿宋_GB2312" w:eastAsia="仿宋_GB2312"/>
          <w:sz w:val="32"/>
        </w:rPr>
        <w:t>〔</w:t>
      </w:r>
      <w:bookmarkStart w:id="2" w:name="DOC_YEAR1"/>
      <w:r>
        <w:rPr>
          <w:rFonts w:hint="eastAsia" w:ascii="仿宋_GB2312" w:eastAsia="仿宋_GB2312"/>
          <w:sz w:val="32"/>
          <w:lang w:eastAsia="zh-CN"/>
        </w:rPr>
        <w:t>2021</w:t>
      </w:r>
      <w:bookmarkEnd w:id="2"/>
      <w:r>
        <w:rPr>
          <w:rFonts w:hint="eastAsia" w:ascii="仿宋_GB2312" w:eastAsia="仿宋_GB2312"/>
          <w:sz w:val="32"/>
        </w:rPr>
        <w:t>〕</w:t>
      </w:r>
      <w:bookmarkStart w:id="3" w:name="DOC_SEQ1"/>
      <w:r>
        <w:rPr>
          <w:rFonts w:hint="eastAsia" w:ascii="仿宋_GB2312" w:eastAsia="仿宋_GB2312"/>
          <w:sz w:val="32"/>
          <w:lang w:eastAsia="zh-CN"/>
        </w:rPr>
        <w:t>2237</w:t>
      </w:r>
      <w:bookmarkEnd w:id="3"/>
      <w:r>
        <w:rPr>
          <w:rFonts w:hint="eastAsia" w:ascii="仿宋_GB2312" w:eastAsia="仿宋_GB2312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  <w:szCs w:val="32"/>
        </w:rPr>
      </w:pPr>
      <w:bookmarkStart w:id="4" w:name="COVERRED_DEL_END"/>
    </w:p>
    <w:bookmarkEnd w:id="4"/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5" w:name="TITLE_NEW"/>
      <w:bookmarkStart w:id="12" w:name="_GoBack"/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市规划和自然资源局关于市政协七届一次会议第20210589号提案答复意见的函</w:t>
      </w:r>
      <w:bookmarkEnd w:id="5"/>
    </w:p>
    <w:bookmarkEnd w:id="12"/>
    <w:p>
      <w:pPr>
        <w:spacing w:line="580" w:lineRule="exact"/>
        <w:rPr>
          <w:rFonts w:hint="eastAsia"/>
          <w:b/>
          <w:sz w:val="44"/>
          <w:szCs w:val="44"/>
        </w:rPr>
      </w:pPr>
    </w:p>
    <w:p>
      <w:pPr>
        <w:spacing w:line="580" w:lineRule="exact"/>
        <w:rPr>
          <w:rFonts w:hint="eastAsia" w:ascii="仿宋_GB2312" w:hAnsi="宋体" w:eastAsia="仿宋_GB2312"/>
          <w:sz w:val="32"/>
          <w:szCs w:val="32"/>
        </w:rPr>
      </w:pPr>
      <w:bookmarkStart w:id="6" w:name="MAINLY_TO_NEW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尊敬的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曹叠云委员:</w:t>
      </w:r>
      <w:bookmarkEnd w:id="6"/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bookmarkStart w:id="7" w:name="CONTENT_NEW"/>
      <w:r>
        <w:rPr>
          <w:rFonts w:hint="eastAsia" w:ascii="仿宋_GB2312" w:hAnsi="宋体" w:eastAsia="仿宋_GB2312"/>
          <w:sz w:val="32"/>
          <w:szCs w:val="32"/>
          <w:lang w:eastAsia="zh-CN"/>
        </w:rPr>
        <w:t>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在市政协七届一次会议期间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提出的《关于加强、</w:t>
      </w:r>
      <w:bookmarkStart w:id="8" w:name="_Hlk77328703"/>
      <w:r>
        <w:rPr>
          <w:rFonts w:hint="eastAsia" w:ascii="仿宋_GB2312" w:hAnsi="宋体" w:eastAsia="仿宋_GB2312"/>
          <w:sz w:val="32"/>
          <w:szCs w:val="32"/>
          <w:lang w:eastAsia="zh-CN"/>
        </w:rPr>
        <w:t>加快我市立体车库、公共充电桩建设</w:t>
      </w:r>
      <w:bookmarkEnd w:id="8"/>
      <w:r>
        <w:rPr>
          <w:rFonts w:hint="eastAsia" w:ascii="仿宋_GB2312" w:hAnsi="宋体" w:eastAsia="仿宋_GB2312"/>
          <w:sz w:val="32"/>
          <w:szCs w:val="32"/>
          <w:lang w:eastAsia="zh-CN"/>
        </w:rPr>
        <w:t>的提案》（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第20210589号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）收悉。此件由我局、市交通运输局、市发展改革委分办。我局对此提案高度重视，经认真研究，现就您的建议事项答复如下：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一、我局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赞成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委员提出的关于加快我市立体车库、公共充电桩建设的建议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关于立体车库事宜：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随着城市快速发展，居民生活水平不断提升，城市小汽车保有量大幅提高，停车设施供给不足问题日益凸显，制约了城市进一步提升品质和管理服务水平。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为突破土地难题，深圳市发改委联合市交通局等多部门发布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《深圳市机械式立体停车设施管理暂行办法》深发改规〔2018〕5号，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按特种设备类申报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机械式立体车库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缓解我市建成区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停车难的问题。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关于充电桩事宜：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为贯彻落实国家应对气候变化、推动绿色发展的战略举措，我市大力推进新能源电动汽车发展。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为加快新能源汽车充电基础设施规划建设，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按照市政府的工作部署，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我局组织编制了《深圳市新能源汽车充电设施布局规划》，统筹落实了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公交车、各类工程车、出租车及私家车等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各类充电设施的空间布局。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针对公交车：结合公交车的运营特点和全市公交场站的发展模式转型，构建以“立体综合车场为主体、公交首末站为补充、临时场站为过渡”的充电设施供应体系；针对工程车：结合各工程车的运营模式及停车特征，实现场站、停放与充电一体化；针对出租车：充分考虑城市规划、生态控制线、用地权属、现状条件、周边交通等各方 面因素，从可实施的角度，规划一批公共充电站。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《深圳市城市规划标准与准则》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明确规定：新建各类建筑物配建停车场、社会公共停车场须按照停车位数量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30%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的比例配建充电设施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同时在符合规范的基础上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100%预留充电桩建设安装条件。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以解决私家车的充电问题。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《深圳市城市规划标准与准则》明确规定：建设项目用地面积超过3公顷时，应配置有效使用面积不小于700平方米的公共充电站（不少于8个快速充电位）；当建设用地面积超过8公顷时，应配置有效面积不小于1100平方米的公共充电站（不少于16个快速充电位）。据此，我市已在新出让用地、城市更新审批时按上述标准规划配置了公共充电站，截止至《布局规划》编制时，已规划配置了约180座公共充电站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二、我局将一如既往地积极配合相关部门推进停车及充电设施建设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一）根据2020年市政府发布《深圳市人民政府关于规划和自然资源行政职权调整的决定》（深圳市人民政府令第327号），闲置土地处置、临时用地审批及批后监管等职权调整至区政府（含新区管理机构）及其职能部门行使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在符合规划的前提下，各区政府可按照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《闲置土地处置办法》（国土资源部 53号令）规定，符合条件的闲置土地可以通过调整土地用途、规划条件的方式进行盘活利用。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各区政府可按照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临时用地管理办法及《关于加快推动我市出租车快速充电桩及配套设施建设工作有关通知》（深交〔2018〕342号），将充电桩、公益性停车场通过临时用地方式申请使用。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我局将积极支持各辖区在符合有关政策前提下，合理利用各类土地资源规划建设立体车库、公共充电桩等设施。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）目前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我局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正在草拟的《深圳市国有建设用地短期租赁管理办法》也规定社会投资的充电站可按短期租赁的方式申请使用。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最后，感谢您对我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市新能源汽车充电设施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工作的关心和支持！</w:t>
      </w:r>
    </w:p>
    <w:p>
      <w:pPr>
        <w:wordWrap w:val="0"/>
        <w:spacing w:line="560" w:lineRule="exact"/>
        <w:ind w:right="635"/>
        <w:jc w:val="righ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wordWrap w:val="0"/>
        <w:spacing w:line="560" w:lineRule="exact"/>
        <w:ind w:right="635"/>
        <w:jc w:val="righ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wordWrap w:val="0"/>
        <w:spacing w:line="560" w:lineRule="exact"/>
        <w:ind w:right="635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市规划和自然资源局</w:t>
      </w:r>
    </w:p>
    <w:p>
      <w:pPr>
        <w:wordWrap w:val="0"/>
        <w:spacing w:line="560" w:lineRule="exact"/>
        <w:ind w:right="822"/>
        <w:jc w:val="righ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2021年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（联系人：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葛德胜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，联系电话：83949341）</w:t>
      </w:r>
      <w:bookmarkEnd w:id="7"/>
    </w:p>
    <w:p>
      <w:pPr>
        <w:spacing w:line="600" w:lineRule="exact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left="2291" w:leftChars="329" w:hanging="1600" w:hangingChars="500"/>
        <w:rPr>
          <w:rFonts w:hint="eastAsia" w:ascii="仿宋_GB2312" w:eastAsia="仿宋_GB2312"/>
          <w:sz w:val="32"/>
          <w:szCs w:val="32"/>
        </w:rPr>
      </w:pPr>
      <w:bookmarkStart w:id="9" w:name="FUJIAN_FILE_NAME"/>
      <w:r>
        <w:rPr>
          <w:rFonts w:hint="eastAsia" w:ascii="仿宋_GB2312" w:eastAsia="仿宋_GB2312"/>
          <w:sz w:val="32"/>
          <w:szCs w:val="32"/>
        </w:rPr>
        <w:t xml:space="preserve"> </w:t>
      </w:r>
      <w:bookmarkEnd w:id="9"/>
    </w:p>
    <w:tbl>
      <w:tblPr>
        <w:tblStyle w:val="3"/>
        <w:tblpPr w:leftFromText="181" w:rightFromText="181" w:tblpYSpec="bottom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5" w:type="dxa"/>
            <w:noWrap w:val="0"/>
            <w:vAlign w:val="top"/>
          </w:tcPr>
          <w:p>
            <w:pPr>
              <w:spacing w:line="480" w:lineRule="exact"/>
              <w:ind w:firstLine="320" w:firstLineChars="100"/>
              <w:jc w:val="lef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bookmarkStart w:id="10" w:name="COPY_TO"/>
            <w:bookmarkEnd w:id="1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25" w:type="dxa"/>
            <w:noWrap w:val="0"/>
            <w:vAlign w:val="top"/>
          </w:tcPr>
          <w:p>
            <w:pPr>
              <w:spacing w:before="170"/>
              <w:ind w:right="284"/>
              <w:jc w:val="right"/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</w:pPr>
            <w:bookmarkStart w:id="11" w:name="TWO_DIMENSIONAL_CODE"/>
            <w:r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666875" cy="419100"/>
                  <wp:effectExtent l="0" t="0" r="9525" b="0"/>
                  <wp:docPr id="1" name="图片 1" descr="~ggimg2021081916391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~ggimg20210819163910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  <w:t xml:space="preserve">  </w:t>
            </w:r>
            <w:bookmarkEnd w:id="11"/>
          </w:p>
        </w:tc>
      </w:tr>
    </w:tbl>
    <w:p>
      <w:pPr>
        <w:spacing w:line="20" w:lineRule="exact"/>
        <w:ind w:right="3532"/>
        <w:rPr>
          <w:rFonts w:hint="eastAsia" w:ascii="仿宋_GB2312"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3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2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0313A"/>
    <w:rsid w:val="15D0313A"/>
    <w:rsid w:val="28EF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2021-08-23T02:38:00Z</dcterms:created>
  <dc:creator>沈晓盈</dc:creator>
  <cp:lastModifiedBy>沈晓盈</cp:lastModifiedBy>
  <dcterms:modified xsi:type="dcterms:W3CDTF">2021-08-23T02:39:19Z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