
<file path=[Content_Types].xml><?xml version="1.0" encoding="utf-8"?>
<Types xmlns="http://schemas.openxmlformats.org/package/2006/content-types">
  <Default Extension="xml" ContentType="application/xml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70" w:line="540" w:lineRule="exact"/>
        <w:ind w:right="284"/>
        <w:jc w:val="left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ab/>
      </w:r>
      <w:r>
        <w:rPr>
          <w:rFonts w:hint="eastAsia" w:ascii="仿宋_GB2312" w:eastAsia="仿宋_GB2312"/>
          <w:sz w:val="32"/>
        </w:rPr>
        <w:tab/>
      </w:r>
      <w:r>
        <w:rPr>
          <w:rFonts w:hint="eastAsia" w:ascii="仿宋_GB2312" w:eastAsia="仿宋_GB2312"/>
          <w:sz w:val="32"/>
        </w:rPr>
        <w:tab/>
      </w:r>
      <w:r>
        <w:rPr>
          <w:rFonts w:hint="eastAsia" w:ascii="仿宋_GB2312" w:eastAsia="仿宋_GB2312"/>
          <w:sz w:val="32"/>
        </w:rPr>
        <w:tab/>
      </w:r>
      <w:r>
        <w:rPr>
          <w:rFonts w:hint="eastAsia" w:ascii="仿宋_GB2312" w:eastAsia="仿宋_GB2312"/>
          <w:sz w:val="32"/>
        </w:rPr>
        <w:tab/>
      </w:r>
      <w:r>
        <w:rPr>
          <w:rFonts w:hint="eastAsia" w:ascii="仿宋_GB2312" w:eastAsia="仿宋_GB2312"/>
          <w:sz w:val="32"/>
        </w:rPr>
        <w:tab/>
      </w:r>
      <w:r>
        <w:rPr>
          <w:rFonts w:hint="eastAsia" w:ascii="仿宋_GB2312" w:eastAsia="仿宋_GB2312"/>
          <w:sz w:val="32"/>
        </w:rPr>
        <w:tab/>
      </w:r>
      <w:r>
        <w:rPr>
          <w:rFonts w:hint="eastAsia" w:ascii="仿宋_GB2312" w:eastAsia="仿宋_GB2312"/>
          <w:sz w:val="32"/>
        </w:rPr>
        <w:tab/>
      </w:r>
      <w:r>
        <w:rPr>
          <w:rFonts w:hint="eastAsia" w:ascii="仿宋_GB2312" w:eastAsia="仿宋_GB2312"/>
          <w:sz w:val="32"/>
        </w:rPr>
        <w:tab/>
      </w:r>
      <w:r>
        <w:rPr>
          <w:rFonts w:hint="eastAsia" w:ascii="仿宋_GB2312" w:eastAsia="仿宋_GB2312"/>
          <w:sz w:val="32"/>
        </w:rPr>
        <w:tab/>
      </w:r>
      <w:r>
        <w:rPr>
          <w:rFonts w:hint="eastAsia" w:ascii="仿宋_GB2312" w:eastAsia="仿宋_GB2312"/>
          <w:sz w:val="32"/>
        </w:rPr>
        <w:tab/>
      </w:r>
      <w:r>
        <w:rPr>
          <w:rFonts w:hint="eastAsia" w:ascii="仿宋_GB2312" w:eastAsia="仿宋_GB2312"/>
          <w:sz w:val="32"/>
        </w:rPr>
        <w:tab/>
      </w:r>
      <w:r>
        <w:rPr>
          <w:rFonts w:hint="eastAsia" w:ascii="仿宋_GB2312" w:eastAsia="仿宋_GB2312"/>
          <w:sz w:val="32"/>
        </w:rPr>
        <w:tab/>
      </w:r>
      <w:r>
        <w:rPr>
          <w:rFonts w:hint="eastAsia" w:ascii="仿宋_GB2312" w:eastAsia="仿宋_GB2312"/>
          <w:sz w:val="32"/>
        </w:rPr>
        <w:tab/>
      </w:r>
      <w:r>
        <w:rPr>
          <w:rFonts w:hint="eastAsia" w:ascii="仿宋_GB2312" w:eastAsia="仿宋_GB2312"/>
          <w:sz w:val="32"/>
        </w:rPr>
        <w:tab/>
      </w:r>
    </w:p>
    <w:p>
      <w:pPr>
        <w:spacing w:line="540" w:lineRule="exact"/>
        <w:ind w:right="312"/>
        <w:jc w:val="left"/>
        <w:rPr>
          <w:rFonts w:hint="eastAsia" w:ascii="仿宋_GB2312" w:eastAsia="仿宋_GB2312"/>
          <w:sz w:val="32"/>
        </w:rPr>
      </w:pPr>
    </w:p>
    <w:p>
      <w:pPr>
        <w:spacing w:line="560" w:lineRule="exact"/>
        <w:ind w:right="210" w:rightChars="100"/>
        <w:jc w:val="right"/>
        <w:rPr>
          <w:rFonts w:hint="eastAsia" w:ascii="仿宋_GB2312" w:eastAsia="仿宋_GB2312"/>
          <w:sz w:val="32"/>
        </w:rPr>
      </w:pPr>
      <w:bookmarkStart w:id="0" w:name="DOC_FLAG"/>
      <w:r>
        <w:rPr>
          <w:rFonts w:hint="eastAsia" w:ascii="仿宋_GB2312" w:eastAsia="仿宋_GB2312"/>
          <w:sz w:val="32"/>
          <w:lang w:eastAsia="zh-CN"/>
        </w:rPr>
        <w:t>深规划资源函</w:t>
      </w:r>
      <w:bookmarkEnd w:id="0"/>
      <w:r>
        <w:rPr>
          <w:rFonts w:hint="eastAsia" w:ascii="仿宋_GB2312" w:eastAsia="仿宋_GB2312"/>
          <w:sz w:val="32"/>
        </w:rPr>
        <w:t>〔</w:t>
      </w:r>
      <w:bookmarkStart w:id="1" w:name="DOC_YEAR1"/>
      <w:r>
        <w:rPr>
          <w:rFonts w:hint="eastAsia" w:ascii="仿宋_GB2312" w:eastAsia="仿宋_GB2312"/>
          <w:sz w:val="32"/>
          <w:lang w:eastAsia="zh-CN"/>
        </w:rPr>
        <w:t>2021</w:t>
      </w:r>
      <w:bookmarkEnd w:id="1"/>
      <w:r>
        <w:rPr>
          <w:rFonts w:hint="eastAsia" w:ascii="仿宋_GB2312" w:eastAsia="仿宋_GB2312"/>
          <w:sz w:val="32"/>
        </w:rPr>
        <w:t>〕</w:t>
      </w:r>
      <w:bookmarkStart w:id="2" w:name="DOC_SEQ1"/>
      <w:bookmarkEnd w:id="2"/>
      <w:r>
        <w:rPr>
          <w:rFonts w:hint="eastAsia" w:ascii="仿宋_GB2312" w:eastAsia="仿宋_GB2312"/>
          <w:sz w:val="32"/>
          <w:lang w:val="en-US" w:eastAsia="zh-CN"/>
        </w:rPr>
        <w:t>2394</w:t>
      </w:r>
      <w:r>
        <w:rPr>
          <w:rFonts w:hint="eastAsia" w:ascii="仿宋_GB2312" w:eastAsia="仿宋_GB2312"/>
          <w:sz w:val="32"/>
        </w:rPr>
        <w:t>号</w:t>
      </w:r>
    </w:p>
    <w:p>
      <w:pPr>
        <w:spacing w:line="560" w:lineRule="exact"/>
        <w:ind w:right="312"/>
        <w:jc w:val="left"/>
        <w:rPr>
          <w:rFonts w:hint="eastAsia" w:ascii="仿宋_GB2312" w:eastAsia="仿宋_GB2312"/>
          <w:sz w:val="32"/>
        </w:rPr>
      </w:pPr>
    </w:p>
    <w:p>
      <w:pPr>
        <w:spacing w:line="580" w:lineRule="exact"/>
        <w:ind w:right="312"/>
        <w:jc w:val="left"/>
        <w:rPr>
          <w:rFonts w:hint="eastAsia" w:ascii="仿宋_GB2312" w:eastAsia="仿宋_GB2312"/>
          <w:sz w:val="32"/>
        </w:rPr>
      </w:pPr>
    </w:p>
    <w:p>
      <w:pPr>
        <w:spacing w:line="580" w:lineRule="exact"/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bookmarkStart w:id="3" w:name="TITLE_NEW"/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市规划和自然资源局关于深圳市政协七届一次会议第</w:t>
      </w:r>
      <w:bookmarkStart w:id="9" w:name="_GoBack"/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20210508号建议主办意见的复函</w:t>
      </w:r>
      <w:bookmarkEnd w:id="9"/>
    </w:p>
    <w:bookmarkEnd w:id="3"/>
    <w:p>
      <w:pPr>
        <w:spacing w:line="580" w:lineRule="exact"/>
        <w:jc w:val="left"/>
        <w:rPr>
          <w:rFonts w:hint="eastAsia" w:ascii="仿宋_GB2312" w:eastAsia="仿宋_GB2312"/>
          <w:sz w:val="32"/>
        </w:rPr>
      </w:pPr>
    </w:p>
    <w:p>
      <w:pPr>
        <w:spacing w:line="580" w:lineRule="exact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eastAsia="仿宋_GB2312"/>
          <w:sz w:val="32"/>
        </w:rPr>
        <w:t>尊敬的</w:t>
      </w:r>
      <w:r>
        <w:rPr>
          <w:rFonts w:hint="eastAsia" w:ascii="仿宋_GB2312" w:hAnsi="仿宋_GB2312" w:eastAsia="仿宋_GB2312" w:cs="仿宋_GB2312"/>
          <w:sz w:val="32"/>
          <w:szCs w:val="32"/>
        </w:rPr>
        <w:t>居学成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委员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spacing w:line="58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您提出的《关于加快推进沙河东路北延项目的建议》（第20210508号）收悉。该建议由我局主办，市交通运输局、南山区人民政府、市教育局会办。</w:t>
      </w:r>
      <w:r>
        <w:rPr>
          <w:rFonts w:hint="eastAsia" w:ascii="仿宋_GB2312" w:hAnsi="宋体" w:eastAsia="仿宋_GB2312"/>
          <w:sz w:val="32"/>
          <w:szCs w:val="32"/>
        </w:rPr>
        <w:t>我局对此建议高度重视，现将办理意见函复如下：</w:t>
      </w:r>
    </w:p>
    <w:p>
      <w:pPr>
        <w:spacing w:line="58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黑体" w:hAnsi="黑体" w:eastAsia="黑体" w:cs="仿宋"/>
          <w:sz w:val="32"/>
          <w:szCs w:val="32"/>
        </w:rPr>
        <w:t>一、沙河东路北延工程的重要性</w:t>
      </w:r>
    </w:p>
    <w:p>
      <w:pPr>
        <w:spacing w:line="580" w:lineRule="exact"/>
        <w:ind w:firstLine="640" w:firstLineChars="200"/>
        <w:rPr>
          <w:rFonts w:hint="eastAsia" w:ascii="仿宋_GB2312" w:eastAsia="仿宋_GB2312" w:cs="Calibri"/>
          <w:sz w:val="32"/>
          <w:szCs w:val="32"/>
        </w:rPr>
      </w:pPr>
      <w:r>
        <w:rPr>
          <w:rFonts w:hint="eastAsia" w:ascii="仿宋_GB2312" w:eastAsia="仿宋_GB2312" w:cs="Calibri"/>
          <w:sz w:val="32"/>
          <w:szCs w:val="32"/>
        </w:rPr>
        <w:t>近年来随着南山、龙华城市地位提升和城市建设快速推进，两区间交通需求迅猛增长，既有留仙大道、南坪快速路及福龙路等通道面临压力。沙河东路作为南山区南北向内部道路，具备北延至龙华人民路的条件。项目建设对于落实粤港澳大湾区重要战略，加快推进深圳特区一体化建设，完善区域干线路网，缓解交通拥堵，促进区域经济发展等有着极其重要的作用。</w:t>
      </w:r>
    </w:p>
    <w:p>
      <w:pPr>
        <w:spacing w:line="580" w:lineRule="exact"/>
        <w:ind w:firstLine="640" w:firstLineChars="200"/>
        <w:rPr>
          <w:rFonts w:ascii="仿宋_GB2312" w:eastAsia="仿宋_GB2312" w:cs="Calibri"/>
          <w:sz w:val="32"/>
          <w:szCs w:val="32"/>
        </w:rPr>
      </w:pPr>
      <w:r>
        <w:rPr>
          <w:rFonts w:hint="eastAsia" w:ascii="黑体" w:hAnsi="黑体" w:eastAsia="黑体" w:cs="仿宋"/>
          <w:sz w:val="32"/>
          <w:szCs w:val="32"/>
        </w:rPr>
        <w:t>二、沙河东路北延工程与西丽湖国际科教城规划的衔接</w:t>
      </w:r>
    </w:p>
    <w:p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根据2019年10月市交通运输局提供的</w:t>
      </w:r>
      <w:r>
        <w:rPr>
          <w:rFonts w:hint="eastAsia" w:ascii="仿宋_GB2312" w:hAnsi="宋体" w:eastAsia="仿宋_GB2312"/>
          <w:sz w:val="32"/>
          <w:szCs w:val="32"/>
        </w:rPr>
        <w:t>沙河东路北延工程方案，沙河东路北延工程穿越西丽湖国际科教城，贯穿现状大学城及燕清溪重点科教拓展区，对清华大学国际研究生院选址用地等影响较大。根据</w:t>
      </w:r>
      <w:r>
        <w:rPr>
          <w:rFonts w:hint="eastAsia" w:ascii="仿宋_GB2312" w:hAnsi="仿宋_GB2312" w:eastAsia="仿宋_GB2312" w:cs="仿宋_GB2312"/>
          <w:sz w:val="32"/>
          <w:szCs w:val="32"/>
        </w:rPr>
        <w:t>2019年10月经市政府六届一百八十八次常务会议审议通过的《西丽湖国际科教城空间规划纲要》，提出“打造世界一流大学城、国家基础研究和应用基础研究高地”的发展定位和“幽美湖谷”特色环境品质塑造要求，片区道路交通体系在已明确的“两横四纵”（“两横”宝鹏通道、南坪快速，“四纵”南光高速、沙河西路、侨城东路、福龙路等城市高快速路）主干道路框架基础上，以完善组团间联系道路，强化公共交通服务为主，避免新增城市干线性主干道、快速路穿越科教城核心片区。并提出</w:t>
      </w:r>
      <w:r>
        <w:rPr>
          <w:rFonts w:hint="eastAsia" w:ascii="仿宋" w:hAnsi="仿宋" w:eastAsia="仿宋"/>
          <w:sz w:val="32"/>
        </w:rPr>
        <w:t>优化</w:t>
      </w:r>
      <w:r>
        <w:rPr>
          <w:rFonts w:hint="eastAsia" w:ascii="仿宋_GB2312" w:eastAsia="仿宋_GB2312"/>
          <w:sz w:val="32"/>
          <w:szCs w:val="32"/>
        </w:rPr>
        <w:t>沙河东路（北延）</w:t>
      </w:r>
      <w:r>
        <w:rPr>
          <w:rFonts w:ascii="仿宋" w:hAnsi="仿宋" w:eastAsia="仿宋"/>
          <w:sz w:val="32"/>
        </w:rPr>
        <w:t>线位，</w:t>
      </w:r>
      <w:r>
        <w:rPr>
          <w:rFonts w:hint="eastAsia" w:ascii="仿宋" w:hAnsi="仿宋" w:eastAsia="仿宋"/>
          <w:sz w:val="32"/>
        </w:rPr>
        <w:t>协调道路系统与科教城用地布局关系。</w:t>
      </w:r>
    </w:p>
    <w:p>
      <w:pPr>
        <w:spacing w:line="580" w:lineRule="exact"/>
        <w:ind w:firstLine="640" w:firstLineChars="200"/>
        <w:rPr>
          <w:rFonts w:ascii="仿宋_GB2312" w:eastAsia="仿宋_GB2312" w:cs="Calibri"/>
          <w:sz w:val="32"/>
          <w:szCs w:val="32"/>
        </w:rPr>
      </w:pPr>
      <w:r>
        <w:rPr>
          <w:rFonts w:hint="eastAsia" w:ascii="黑体" w:hAnsi="黑体" w:eastAsia="黑体" w:cs="仿宋"/>
          <w:sz w:val="32"/>
          <w:szCs w:val="32"/>
        </w:rPr>
        <w:t>三、市教育局与清华大学相关意见</w:t>
      </w:r>
    </w:p>
    <w:p>
      <w:pPr>
        <w:spacing w:line="58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2020年8月，市交通运</w:t>
      </w:r>
      <w:r>
        <w:rPr>
          <w:rFonts w:hint="eastAsia" w:ascii="仿宋_GB2312" w:hAnsi="仿宋_GB2312" w:eastAsia="仿宋_GB2312" w:cs="仿宋_GB2312"/>
          <w:sz w:val="32"/>
          <w:szCs w:val="32"/>
        </w:rPr>
        <w:t>输局就沙河东北延方案征求市教育局和清华大学意见，清华大学提出该方案影响师生的交通出行安全，存在极大的安全隐患，并对校园整体规划布局造成严重影响，将导致校区无法建设。同时，科研、教学工作对周边环境有较高要求，主干线横穿引发的噪音及震动极有可能影响高精端科研成果研发，这与科教城的发展定位不符。市教育局与清华大学一致</w:t>
      </w:r>
      <w:r>
        <w:rPr>
          <w:rFonts w:hint="eastAsia" w:ascii="仿宋_GB2312" w:hAnsi="宋体" w:eastAsia="仿宋_GB2312"/>
          <w:sz w:val="32"/>
          <w:szCs w:val="32"/>
        </w:rPr>
        <w:t>建议近期实施至留仙大道。</w:t>
      </w:r>
    </w:p>
    <w:p>
      <w:pPr>
        <w:numPr>
          <w:ilvl w:val="0"/>
          <w:numId w:val="1"/>
        </w:numPr>
        <w:spacing w:line="580" w:lineRule="exact"/>
        <w:ind w:firstLine="640" w:firstLineChars="200"/>
        <w:rPr>
          <w:rFonts w:hint="eastAsia" w:ascii="黑体" w:hAnsi="黑体" w:eastAsia="黑体" w:cs="仿宋"/>
          <w:sz w:val="32"/>
          <w:szCs w:val="32"/>
        </w:rPr>
      </w:pPr>
      <w:r>
        <w:rPr>
          <w:rFonts w:hint="eastAsia" w:ascii="黑体" w:hAnsi="黑体" w:eastAsia="黑体" w:cs="仿宋"/>
          <w:sz w:val="32"/>
          <w:szCs w:val="32"/>
        </w:rPr>
        <w:t>相关工作建议</w:t>
      </w:r>
    </w:p>
    <w:p>
      <w:pPr>
        <w:spacing w:line="580" w:lineRule="exact"/>
        <w:ind w:firstLine="640" w:firstLineChars="200"/>
        <w:rPr>
          <w:rFonts w:hint="eastAsia" w:ascii="仿宋_GB2312" w:eastAsia="仿宋_GB2312" w:cs="Calibri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根据我局正组织编制的《深圳市干线道路网规划（2020-2035）》，新增沙河东路北延，近期至留仙大道，远期接龙华人民路-浪荣路，加强龙华与南山联系。</w:t>
      </w:r>
      <w:r>
        <w:rPr>
          <w:rFonts w:hint="eastAsia" w:ascii="仿宋_GB2312" w:hAnsi="仿宋_GB2312" w:eastAsia="仿宋_GB2312" w:cs="仿宋_GB2312"/>
          <w:sz w:val="32"/>
          <w:szCs w:val="32"/>
        </w:rPr>
        <w:t>后续，建议市交通运输局进一步优化沙河东路（科教城范围）线位，避免穿越科教城核心片区，为科教城创造更加舒适、优美的环境。</w:t>
      </w:r>
      <w:r>
        <w:rPr>
          <w:rFonts w:hint="eastAsia" w:ascii="仿宋_GB2312" w:eastAsia="仿宋_GB2312" w:cs="Calibri"/>
          <w:sz w:val="32"/>
          <w:szCs w:val="32"/>
        </w:rPr>
        <w:t>如最终选线方案还涉及穿越清华大学等高校校区，建议优化断面，加强与清华大学等校园建设方案的衔接，减少对校园环境品质影响，并征求市教育局，清华大学等相关单位的意见。</w:t>
      </w:r>
    </w:p>
    <w:p>
      <w:pPr>
        <w:spacing w:line="580" w:lineRule="exact"/>
        <w:ind w:firstLine="645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最后，感谢您对我局工作的关心和支持！</w:t>
      </w:r>
    </w:p>
    <w:p>
      <w:pPr>
        <w:spacing w:line="580" w:lineRule="exact"/>
        <w:ind w:firstLine="645"/>
        <w:rPr>
          <w:rFonts w:hint="eastAsia" w:ascii="仿宋_GB2312" w:eastAsia="仿宋_GB2312"/>
          <w:sz w:val="32"/>
        </w:rPr>
      </w:pPr>
    </w:p>
    <w:p>
      <w:pPr>
        <w:spacing w:line="580" w:lineRule="exact"/>
        <w:ind w:left="1493" w:leftChars="303" w:hanging="857" w:hangingChars="268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附件：市教育局关于反馈沙河东路北延工程方案设计意见的函</w:t>
      </w:r>
    </w:p>
    <w:p>
      <w:pPr>
        <w:spacing w:line="580" w:lineRule="exact"/>
        <w:ind w:right="1040"/>
        <w:jc w:val="right"/>
        <w:rPr>
          <w:rFonts w:ascii="仿宋_GB2312" w:hAnsi="Times New Roman" w:eastAsia="仿宋_GB2312"/>
          <w:sz w:val="32"/>
          <w:szCs w:val="32"/>
        </w:rPr>
      </w:pPr>
    </w:p>
    <w:p>
      <w:pPr>
        <w:spacing w:line="580" w:lineRule="exact"/>
        <w:ind w:right="1040"/>
        <w:jc w:val="right"/>
        <w:rPr>
          <w:rFonts w:ascii="仿宋_GB2312" w:hAnsi="Times New Roman" w:eastAsia="仿宋_GB2312"/>
          <w:sz w:val="32"/>
          <w:szCs w:val="32"/>
        </w:rPr>
      </w:pPr>
    </w:p>
    <w:p>
      <w:pPr>
        <w:spacing w:line="580" w:lineRule="exact"/>
        <w:ind w:right="703"/>
        <w:jc w:val="right"/>
        <w:rPr>
          <w:rFonts w:ascii="仿宋_GB2312" w:hAnsi="Times New Roman" w:eastAsia="仿宋_GB2312"/>
          <w:sz w:val="32"/>
          <w:szCs w:val="32"/>
        </w:rPr>
      </w:pPr>
      <w:bookmarkStart w:id="4" w:name="BUREAU_NAME_JP"/>
      <w:r>
        <w:rPr>
          <w:rFonts w:hint="eastAsia" w:ascii="仿宋_GB2312" w:hAnsi="Times New Roman" w:eastAsia="仿宋_GB2312"/>
          <w:sz w:val="32"/>
          <w:szCs w:val="32"/>
        </w:rPr>
        <w:t>市规划和自然资源局</w:t>
      </w:r>
      <w:bookmarkEnd w:id="4"/>
    </w:p>
    <w:p>
      <w:pPr>
        <w:spacing w:line="580" w:lineRule="exact"/>
        <w:ind w:right="822"/>
        <w:jc w:val="right"/>
        <w:rPr>
          <w:rFonts w:hint="eastAsia" w:ascii="仿宋_GB2312" w:hAnsi="Times New Roman" w:eastAsia="仿宋_GB2312"/>
          <w:sz w:val="32"/>
          <w:szCs w:val="32"/>
          <w:lang w:eastAsia="zh-CN"/>
        </w:rPr>
      </w:pPr>
      <w:bookmarkStart w:id="5" w:name="INSCRIBE_DATE"/>
      <w:r>
        <w:rPr>
          <w:rFonts w:hint="eastAsia" w:ascii="仿宋_GB2312" w:hAnsi="Times New Roman" w:eastAsia="仿宋_GB2312"/>
          <w:sz w:val="32"/>
          <w:szCs w:val="32"/>
          <w:lang w:eastAsia="zh-CN"/>
        </w:rPr>
        <w:t>2021年9月2日</w:t>
      </w:r>
      <w:bookmarkEnd w:id="5"/>
    </w:p>
    <w:p>
      <w:pPr>
        <w:spacing w:line="580" w:lineRule="exact"/>
        <w:ind w:firstLine="560" w:firstLineChars="200"/>
        <w:rPr>
          <w:rFonts w:ascii="Times New Roman" w:hAnsi="Times New Roman"/>
          <w:sz w:val="28"/>
        </w:rPr>
      </w:pPr>
    </w:p>
    <w:p>
      <w:pPr>
        <w:spacing w:line="580" w:lineRule="exact"/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（联系人：</w:t>
      </w:r>
      <w:r>
        <w:rPr>
          <w:rFonts w:hint="eastAsia" w:ascii="仿宋_GB2312" w:hAnsi="仿宋_GB2312" w:eastAsia="仿宋_GB2312" w:cs="仿宋_GB2312"/>
          <w:sz w:val="32"/>
          <w:szCs w:val="32"/>
        </w:rPr>
        <w:t>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洋</w:t>
      </w:r>
      <w:r>
        <w:rPr>
          <w:rFonts w:hint="eastAsia" w:ascii="仿宋_GB2312" w:hAnsi="Times New Roman" w:eastAsia="仿宋_GB2312"/>
          <w:sz w:val="32"/>
          <w:szCs w:val="32"/>
        </w:rPr>
        <w:t>，联系电话：</w:t>
      </w:r>
      <w:r>
        <w:rPr>
          <w:rFonts w:hint="eastAsia" w:ascii="仿宋_GB2312" w:hAnsi="仿宋_GB2312" w:eastAsia="仿宋_GB2312" w:cs="仿宋_GB2312"/>
          <w:sz w:val="32"/>
          <w:szCs w:val="32"/>
        </w:rPr>
        <w:t>26970920</w:t>
      </w:r>
      <w:r>
        <w:rPr>
          <w:rFonts w:hint="eastAsia" w:ascii="仿宋_GB2312" w:hAnsi="Times New Roman" w:eastAsia="仿宋_GB2312"/>
          <w:sz w:val="32"/>
          <w:szCs w:val="32"/>
        </w:rPr>
        <w:t>）</w:t>
      </w:r>
    </w:p>
    <w:p>
      <w:pPr>
        <w:spacing w:line="580" w:lineRule="exact"/>
        <w:rPr>
          <w:rFonts w:ascii="仿宋_GB2312" w:hAnsi="Times New Roman" w:eastAsia="仿宋_GB2312"/>
          <w:sz w:val="32"/>
          <w:szCs w:val="32"/>
        </w:rPr>
      </w:pPr>
    </w:p>
    <w:p>
      <w:pPr>
        <w:spacing w:line="580" w:lineRule="exact"/>
        <w:ind w:firstLine="640" w:firstLineChars="200"/>
        <w:rPr>
          <w:rFonts w:ascii="仿宋_GB2312" w:hAnsi="Times New Roman" w:eastAsia="仿宋_GB2312"/>
          <w:sz w:val="32"/>
          <w:szCs w:val="32"/>
        </w:rPr>
      </w:pPr>
    </w:p>
    <w:tbl>
      <w:tblPr>
        <w:tblStyle w:val="3"/>
        <w:tblpPr w:leftFromText="181" w:rightFromText="181" w:tblpYSpec="bottom"/>
        <w:tblOverlap w:val="never"/>
        <w:tblW w:w="892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925" w:type="dxa"/>
            <w:noWrap w:val="0"/>
            <w:vAlign w:val="top"/>
          </w:tcPr>
          <w:p>
            <w:pPr>
              <w:spacing w:line="480" w:lineRule="exact"/>
              <w:ind w:firstLine="320" w:firstLineChars="100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  <w:bookmarkStart w:id="6" w:name="COPY_TO"/>
            <w:bookmarkEnd w:id="6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8925" w:type="dxa"/>
            <w:noWrap w:val="0"/>
            <w:vAlign w:val="top"/>
          </w:tcPr>
          <w:p>
            <w:pPr>
              <w:spacing w:before="170"/>
              <w:ind w:right="284"/>
              <w:jc w:val="right"/>
              <w:rPr>
                <w:rFonts w:hint="eastAsia" w:ascii="仿宋_GB2312" w:hAnsi="Times New Roman" w:eastAsia="仿宋_GB2312"/>
                <w:spacing w:val="-100"/>
                <w:sz w:val="32"/>
                <w:szCs w:val="32"/>
                <w:lang w:eastAsia="zh-CN"/>
              </w:rPr>
            </w:pPr>
            <w:bookmarkStart w:id="7" w:name="TWO_DIMENSIONAL_CODE"/>
            <w:r>
              <w:rPr>
                <w:rFonts w:hint="eastAsia" w:ascii="仿宋_GB2312" w:hAnsi="Times New Roman" w:eastAsia="仿宋_GB2312"/>
                <w:spacing w:val="-100"/>
                <w:sz w:val="32"/>
                <w:szCs w:val="32"/>
                <w:lang w:eastAsia="zh-CN"/>
              </w:rPr>
              <w:drawing>
                <wp:inline distT="0" distB="0" distL="114300" distR="114300">
                  <wp:extent cx="1666875" cy="447675"/>
                  <wp:effectExtent l="0" t="0" r="9525" b="9525"/>
                  <wp:docPr id="1" name="图片 1" descr="~ggimg20210903162331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~ggimg202109031623310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6875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仿宋_GB2312" w:hAnsi="Times New Roman" w:eastAsia="仿宋_GB2312"/>
                <w:spacing w:val="-100"/>
                <w:sz w:val="32"/>
                <w:szCs w:val="32"/>
                <w:lang w:eastAsia="zh-CN"/>
              </w:rPr>
              <w:t xml:space="preserve">  </w:t>
            </w:r>
            <w:bookmarkEnd w:id="7"/>
          </w:p>
        </w:tc>
      </w:tr>
    </w:tbl>
    <w:p/>
    <w:p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rPr>
          <w:rFonts w:hint="eastAsia" w:ascii="仿宋_GB2312" w:hAnsi="仿宋_GB2312" w:eastAsia="仿宋_GB2312" w:cs="仿宋_GB2312"/>
          <w:sz w:val="44"/>
          <w:szCs w:val="44"/>
        </w:rPr>
      </w:pPr>
    </w:p>
    <w:p>
      <w:pPr>
        <w:spacing w:line="560" w:lineRule="exact"/>
        <w:ind w:right="1040"/>
        <w:jc w:val="right"/>
        <w:rPr>
          <w:rFonts w:hint="eastAsia" w:ascii="仿宋_GB2312" w:eastAsia="仿宋_GB2312"/>
          <w:sz w:val="32"/>
          <w:szCs w:val="32"/>
        </w:rPr>
      </w:pPr>
    </w:p>
    <w:p>
      <w:pPr>
        <w:spacing w:line="560" w:lineRule="exact"/>
        <w:ind w:left="2291" w:leftChars="329" w:hanging="1600" w:hangingChars="500"/>
        <w:rPr>
          <w:rFonts w:hint="eastAsia" w:ascii="仿宋_GB2312" w:eastAsia="仿宋_GB2312"/>
          <w:sz w:val="32"/>
          <w:szCs w:val="32"/>
        </w:rPr>
      </w:pPr>
    </w:p>
    <w:p/>
    <w:p>
      <w:pPr>
        <w:rPr>
          <w:rFonts w:hint="eastAsia"/>
        </w:rPr>
      </w:pPr>
    </w:p>
    <w:p>
      <w:pPr>
        <w:spacing w:line="600" w:lineRule="exact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560" w:lineRule="exact"/>
        <w:ind w:right="1040"/>
        <w:jc w:val="right"/>
        <w:rPr>
          <w:rFonts w:hint="eastAsia" w:ascii="仿宋_GB2312" w:eastAsia="仿宋_GB2312"/>
          <w:sz w:val="32"/>
          <w:szCs w:val="32"/>
        </w:rPr>
      </w:pPr>
    </w:p>
    <w:p>
      <w:pPr>
        <w:spacing w:line="560" w:lineRule="exact"/>
        <w:ind w:left="2291" w:leftChars="329" w:hanging="1600" w:hangingChars="500"/>
        <w:rPr>
          <w:rFonts w:hint="eastAsia" w:ascii="仿宋_GB2312" w:eastAsia="仿宋_GB2312"/>
          <w:sz w:val="32"/>
          <w:szCs w:val="32"/>
        </w:rPr>
      </w:pPr>
      <w:bookmarkStart w:id="8" w:name="FUJIAN_FILE_NAME"/>
      <w:r>
        <w:rPr>
          <w:rFonts w:hint="eastAsia" w:ascii="仿宋_GB2312" w:eastAsia="仿宋_GB2312"/>
          <w:sz w:val="32"/>
          <w:szCs w:val="32"/>
        </w:rPr>
        <w:t xml:space="preserve"> </w:t>
      </w:r>
      <w:bookmarkEnd w:id="8"/>
    </w:p>
    <w:p>
      <w:pPr>
        <w:spacing w:line="560" w:lineRule="exact"/>
        <w:ind w:right="1040"/>
        <w:jc w:val="right"/>
        <w:rPr>
          <w:rFonts w:hint="eastAsia" w:ascii="仿宋_GB2312" w:eastAsia="仿宋_GB2312"/>
          <w:sz w:val="32"/>
          <w:szCs w:val="32"/>
        </w:rPr>
      </w:pPr>
    </w:p>
    <w:p>
      <w:pPr>
        <w:spacing w:line="560" w:lineRule="exact"/>
        <w:ind w:right="1040"/>
        <w:jc w:val="right"/>
        <w:rPr>
          <w:rFonts w:hint="eastAsia" w:ascii="仿宋_GB2312" w:eastAsia="仿宋_GB2312"/>
          <w:sz w:val="32"/>
          <w:szCs w:val="32"/>
        </w:rPr>
      </w:pPr>
    </w:p>
    <w:p>
      <w:pPr>
        <w:spacing w:line="20" w:lineRule="exact"/>
        <w:ind w:right="3532"/>
        <w:rPr>
          <w:rFonts w:hint="eastAsia" w:ascii="仿宋_GB2312" w:eastAsia="仿宋_GB2312"/>
          <w:sz w:val="32"/>
          <w:szCs w:val="32"/>
        </w:rPr>
      </w:pPr>
    </w:p>
    <w:p/>
    <w:sectPr>
      <w:footerReference r:id="rId3" w:type="default"/>
      <w:footerReference r:id="rId4" w:type="even"/>
      <w:pgSz w:w="11906" w:h="16838"/>
      <w:pgMar w:top="2098" w:right="1474" w:bottom="1985" w:left="1588" w:header="851" w:footer="992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wordWrap w:val="0"/>
      <w:jc w:val="right"/>
      <w:rPr>
        <w:rFonts w:hint="eastAsia" w:ascii="仿宋_GB2312" w:hAnsi="宋体" w:eastAsia="仿宋_GB2312"/>
        <w:sz w:val="28"/>
      </w:rPr>
    </w:pPr>
    <w:r>
      <w:rPr>
        <w:rFonts w:hint="eastAsia" w:ascii="仿宋_GB2312" w:hAnsi="宋体" w:eastAsia="仿宋_GB2312"/>
        <w:kern w:val="0"/>
        <w:sz w:val="28"/>
        <w:szCs w:val="21"/>
      </w:rPr>
      <w:t xml:space="preserve">- </w:t>
    </w:r>
    <w:r>
      <w:rPr>
        <w:rFonts w:hint="eastAsia" w:ascii="仿宋_GB2312" w:hAnsi="宋体" w:eastAsia="仿宋_GB2312"/>
        <w:kern w:val="0"/>
        <w:sz w:val="28"/>
        <w:szCs w:val="21"/>
      </w:rPr>
      <w:fldChar w:fldCharType="begin"/>
    </w:r>
    <w:r>
      <w:rPr>
        <w:rFonts w:hint="eastAsia" w:ascii="仿宋_GB2312" w:hAnsi="宋体" w:eastAsia="仿宋_GB2312"/>
        <w:kern w:val="0"/>
        <w:sz w:val="28"/>
        <w:szCs w:val="21"/>
      </w:rPr>
      <w:instrText xml:space="preserve"> PAGE </w:instrText>
    </w:r>
    <w:r>
      <w:rPr>
        <w:rFonts w:hint="eastAsia" w:ascii="仿宋_GB2312" w:hAnsi="宋体" w:eastAsia="仿宋_GB2312"/>
        <w:kern w:val="0"/>
        <w:sz w:val="28"/>
        <w:szCs w:val="21"/>
      </w:rPr>
      <w:fldChar w:fldCharType="separate"/>
    </w:r>
    <w:r>
      <w:rPr>
        <w:rFonts w:ascii="仿宋_GB2312" w:hAnsi="宋体" w:eastAsia="仿宋_GB2312"/>
        <w:kern w:val="0"/>
        <w:sz w:val="28"/>
        <w:szCs w:val="21"/>
      </w:rPr>
      <w:t>3</w:t>
    </w:r>
    <w:r>
      <w:rPr>
        <w:rFonts w:hint="eastAsia" w:ascii="仿宋_GB2312" w:hAnsi="宋体" w:eastAsia="仿宋_GB2312"/>
        <w:kern w:val="0"/>
        <w:sz w:val="28"/>
        <w:szCs w:val="21"/>
      </w:rPr>
      <w:fldChar w:fldCharType="end"/>
    </w:r>
    <w:r>
      <w:rPr>
        <w:rFonts w:hint="eastAsia" w:ascii="仿宋_GB2312" w:hAnsi="宋体" w:eastAsia="仿宋_GB2312"/>
        <w:kern w:val="0"/>
        <w:sz w:val="28"/>
        <w:szCs w:val="21"/>
      </w:rPr>
      <w:t xml:space="preserve"> -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280" w:firstLineChars="100"/>
      <w:rPr>
        <w:rFonts w:hint="eastAsia" w:ascii="仿宋_GB2312" w:hAnsi="宋体" w:eastAsia="仿宋_GB2312"/>
        <w:sz w:val="28"/>
      </w:rPr>
    </w:pPr>
    <w:r>
      <w:rPr>
        <w:rFonts w:hint="eastAsia" w:ascii="仿宋_GB2312" w:hAnsi="宋体" w:eastAsia="仿宋_GB2312"/>
        <w:kern w:val="0"/>
        <w:sz w:val="28"/>
        <w:szCs w:val="21"/>
      </w:rPr>
      <w:t xml:space="preserve">- </w:t>
    </w:r>
    <w:r>
      <w:rPr>
        <w:rFonts w:hint="eastAsia" w:ascii="仿宋_GB2312" w:hAnsi="宋体" w:eastAsia="仿宋_GB2312"/>
        <w:kern w:val="0"/>
        <w:sz w:val="28"/>
        <w:szCs w:val="21"/>
      </w:rPr>
      <w:fldChar w:fldCharType="begin"/>
    </w:r>
    <w:r>
      <w:rPr>
        <w:rFonts w:hint="eastAsia" w:ascii="仿宋_GB2312" w:hAnsi="宋体" w:eastAsia="仿宋_GB2312"/>
        <w:kern w:val="0"/>
        <w:sz w:val="28"/>
        <w:szCs w:val="21"/>
      </w:rPr>
      <w:instrText xml:space="preserve"> PAGE </w:instrText>
    </w:r>
    <w:r>
      <w:rPr>
        <w:rFonts w:hint="eastAsia" w:ascii="仿宋_GB2312" w:hAnsi="宋体" w:eastAsia="仿宋_GB2312"/>
        <w:kern w:val="0"/>
        <w:sz w:val="28"/>
        <w:szCs w:val="21"/>
      </w:rPr>
      <w:fldChar w:fldCharType="separate"/>
    </w:r>
    <w:r>
      <w:rPr>
        <w:rFonts w:ascii="仿宋_GB2312" w:hAnsi="宋体" w:eastAsia="仿宋_GB2312"/>
        <w:kern w:val="0"/>
        <w:sz w:val="28"/>
        <w:szCs w:val="21"/>
      </w:rPr>
      <w:t>2</w:t>
    </w:r>
    <w:r>
      <w:rPr>
        <w:rFonts w:hint="eastAsia" w:ascii="仿宋_GB2312" w:hAnsi="宋体" w:eastAsia="仿宋_GB2312"/>
        <w:kern w:val="0"/>
        <w:sz w:val="28"/>
        <w:szCs w:val="21"/>
      </w:rPr>
      <w:fldChar w:fldCharType="end"/>
    </w:r>
    <w:r>
      <w:rPr>
        <w:rFonts w:hint="eastAsia" w:ascii="仿宋_GB2312" w:hAnsi="宋体" w:eastAsia="仿宋_GB2312"/>
        <w:kern w:val="0"/>
        <w:sz w:val="28"/>
        <w:szCs w:val="21"/>
      </w:rPr>
      <w:t xml:space="preserve"> -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12A7A5D"/>
    <w:multiLevelType w:val="singleLevel"/>
    <w:tmpl w:val="C12A7A5D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57F4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2021-11-15T07:33:06Z</dcterms:created>
  <dc:creator>yuyang</dc:creator>
  <cp:lastModifiedBy>null</cp:lastModifiedBy>
  <dcterms:modified xsi:type="dcterms:W3CDTF">2021-11-15T07:33:22Z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