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hAnsi="Times New Roman" w:eastAsia="仿宋_GB2312" w:cs="Times New Roman"/>
          <w:sz w:val="32"/>
        </w:rPr>
      </w:pP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r>
        <w:rPr>
          <w:rFonts w:hint="eastAsia" w:ascii="仿宋_GB2312" w:hAnsi="Times New Roman" w:eastAsia="仿宋_GB2312" w:cs="Times New Roman"/>
          <w:sz w:val="32"/>
        </w:rPr>
        <w:tab/>
      </w:r>
      <w:bookmarkStart w:id="0" w:name="neibumg"/>
      <w:bookmarkEnd w:id="0"/>
    </w:p>
    <w:p>
      <w:pPr>
        <w:spacing w:line="540" w:lineRule="exact"/>
        <w:ind w:right="312"/>
        <w:jc w:val="left"/>
        <w:rPr>
          <w:rFonts w:hint="eastAsia" w:ascii="仿宋_GB2312" w:hAnsi="Times New Roman" w:eastAsia="仿宋_GB2312" w:cs="Times New Roman"/>
          <w:sz w:val="32"/>
        </w:rPr>
      </w:pPr>
    </w:p>
    <w:p>
      <w:pPr>
        <w:spacing w:line="560" w:lineRule="exact"/>
        <w:ind w:right="210" w:rightChars="100"/>
        <w:jc w:val="right"/>
        <w:rPr>
          <w:rFonts w:hint="eastAsia" w:ascii="仿宋_GB2312" w:hAnsi="Times New Roman" w:eastAsia="仿宋_GB2312" w:cs="Times New Roman"/>
          <w:sz w:val="32"/>
        </w:rPr>
      </w:pPr>
      <w:bookmarkStart w:id="1" w:name="DOC_FLAG"/>
      <w:r>
        <w:rPr>
          <w:rFonts w:hint="eastAsia" w:ascii="仿宋_GB2312" w:hAnsi="Times New Roman" w:eastAsia="仿宋_GB2312" w:cs="Times New Roman"/>
          <w:sz w:val="32"/>
          <w:lang w:eastAsia="zh-CN"/>
        </w:rPr>
        <w:t>深规划资源函</w:t>
      </w:r>
      <w:bookmarkEnd w:id="1"/>
      <w:r>
        <w:rPr>
          <w:rFonts w:hint="eastAsia" w:ascii="仿宋_GB2312" w:hAnsi="Times New Roman" w:eastAsia="仿宋_GB2312" w:cs="Times New Roman"/>
          <w:sz w:val="32"/>
        </w:rPr>
        <w:t>〔</w:t>
      </w:r>
      <w:bookmarkStart w:id="2" w:name="DOC_YEAR1"/>
      <w:r>
        <w:rPr>
          <w:rFonts w:hint="eastAsia" w:ascii="仿宋_GB2312" w:hAnsi="Times New Roman" w:eastAsia="仿宋_GB2312" w:cs="Times New Roman"/>
          <w:sz w:val="32"/>
          <w:lang w:eastAsia="zh-CN"/>
        </w:rPr>
        <w:t>2021</w:t>
      </w:r>
      <w:bookmarkEnd w:id="2"/>
      <w:r>
        <w:rPr>
          <w:rFonts w:hint="eastAsia" w:ascii="仿宋_GB2312" w:hAnsi="Times New Roman" w:eastAsia="仿宋_GB2312" w:cs="Times New Roman"/>
          <w:sz w:val="32"/>
        </w:rPr>
        <w:t>〕</w:t>
      </w:r>
      <w:bookmarkStart w:id="3" w:name="DOC_SEQ1"/>
      <w:r>
        <w:rPr>
          <w:rFonts w:hint="eastAsia" w:ascii="仿宋_GB2312" w:hAnsi="Times New Roman" w:eastAsia="仿宋_GB2312" w:cs="Times New Roman"/>
          <w:sz w:val="32"/>
          <w:lang w:eastAsia="zh-CN"/>
        </w:rPr>
        <w:t>2450</w:t>
      </w:r>
      <w:bookmarkEnd w:id="3"/>
      <w:r>
        <w:rPr>
          <w:rFonts w:hint="eastAsia" w:ascii="仿宋_GB2312" w:hAnsi="Times New Roman" w:eastAsia="仿宋_GB2312" w:cs="Times New Roman"/>
          <w:sz w:val="32"/>
        </w:rPr>
        <w:t>号</w:t>
      </w:r>
    </w:p>
    <w:p>
      <w:pPr>
        <w:spacing w:line="560" w:lineRule="exact"/>
        <w:ind w:right="312"/>
        <w:jc w:val="left"/>
        <w:rPr>
          <w:rFonts w:hint="eastAsia" w:ascii="仿宋_GB2312" w:hAnsi="Times New Roman" w:eastAsia="仿宋_GB2312" w:cs="Times New Roman"/>
          <w:sz w:val="32"/>
        </w:rPr>
      </w:pPr>
    </w:p>
    <w:p>
      <w:pPr>
        <w:spacing w:line="560" w:lineRule="exact"/>
        <w:ind w:right="312"/>
        <w:jc w:val="left"/>
        <w:rPr>
          <w:rFonts w:hint="eastAsia" w:ascii="仿宋_GB2312" w:hAnsi="Times New Roman" w:eastAsia="仿宋_GB2312" w:cs="Times New Roman"/>
          <w:sz w:val="32"/>
          <w:szCs w:val="32"/>
        </w:rPr>
      </w:pPr>
      <w:bookmarkStart w:id="4" w:name="COVERRED_DEL_END"/>
    </w:p>
    <w:bookmarkEnd w:id="4"/>
    <w:p>
      <w:pPr>
        <w:spacing w:line="580" w:lineRule="exact"/>
        <w:jc w:val="center"/>
        <w:rPr>
          <w:rFonts w:hint="eastAsia" w:ascii="方正小标宋简体" w:hAnsi="Times New Roman" w:eastAsia="方正小标宋简体" w:cs="Times New Roman"/>
          <w:sz w:val="44"/>
          <w:szCs w:val="44"/>
          <w:lang w:eastAsia="zh-CN"/>
        </w:rPr>
      </w:pPr>
      <w:bookmarkStart w:id="5" w:name="SENDDOCUMENT_ORGAN"/>
      <w:bookmarkEnd w:id="5"/>
      <w:bookmarkStart w:id="6" w:name="TITLE_NEW"/>
      <w:r>
        <w:rPr>
          <w:rFonts w:hint="eastAsia" w:ascii="方正小标宋简体" w:hAnsi="宋体" w:eastAsia="方正小标宋简体" w:cs="Times New Roman"/>
          <w:sz w:val="44"/>
          <w:szCs w:val="44"/>
          <w:lang w:eastAsia="zh-CN"/>
        </w:rPr>
        <w:t>市规划和自然资源局关于市政协七届一次会议</w:t>
      </w:r>
      <w:bookmarkStart w:id="15" w:name="_GoBack"/>
      <w:r>
        <w:rPr>
          <w:rFonts w:hint="eastAsia" w:ascii="方正小标宋简体" w:hAnsi="宋体" w:eastAsia="方正小标宋简体" w:cs="Times New Roman"/>
          <w:sz w:val="44"/>
          <w:szCs w:val="44"/>
          <w:lang w:eastAsia="zh-CN"/>
        </w:rPr>
        <w:t>第20210482号</w:t>
      </w:r>
      <w:bookmarkEnd w:id="15"/>
      <w:r>
        <w:rPr>
          <w:rFonts w:hint="eastAsia" w:ascii="方正小标宋简体" w:hAnsi="宋体" w:eastAsia="方正小标宋简体" w:cs="Times New Roman"/>
          <w:sz w:val="44"/>
          <w:szCs w:val="44"/>
          <w:lang w:eastAsia="zh-CN"/>
        </w:rPr>
        <w:t>提案答复意见的函</w:t>
      </w:r>
      <w:bookmarkEnd w:id="6"/>
    </w:p>
    <w:p>
      <w:pPr>
        <w:spacing w:line="580" w:lineRule="exact"/>
        <w:rPr>
          <w:rFonts w:hint="eastAsia" w:ascii="Times New Roman" w:hAnsi="Times New Roman" w:eastAsia="宋体" w:cs="Times New Roman"/>
          <w:b/>
          <w:sz w:val="44"/>
          <w:szCs w:val="44"/>
        </w:rPr>
      </w:pPr>
    </w:p>
    <w:p>
      <w:pPr>
        <w:spacing w:line="580" w:lineRule="exact"/>
        <w:rPr>
          <w:rFonts w:hint="eastAsia" w:ascii="仿宋_GB2312" w:hAnsi="宋体" w:eastAsia="仿宋_GB2312" w:cs="Times New Roman"/>
          <w:sz w:val="32"/>
          <w:szCs w:val="32"/>
        </w:rPr>
      </w:pPr>
      <w:bookmarkStart w:id="7" w:name="MAINLY_TO_NEW"/>
      <w:r>
        <w:rPr>
          <w:rFonts w:hint="eastAsia" w:ascii="仿宋_GB2312" w:hAnsi="宋体" w:eastAsia="仿宋_GB2312" w:cs="Times New Roman"/>
          <w:sz w:val="32"/>
          <w:szCs w:val="32"/>
          <w:lang w:eastAsia="zh-CN"/>
        </w:rPr>
        <w:t>龚云流委员:</w:t>
      </w:r>
      <w:bookmarkEnd w:id="7"/>
      <w:r>
        <w:rPr>
          <w:rFonts w:hint="eastAsia" w:ascii="仿宋_GB2312" w:hAnsi="宋体" w:eastAsia="仿宋_GB2312" w:cs="Times New Roman"/>
          <w:sz w:val="32"/>
          <w:szCs w:val="32"/>
        </w:rPr>
        <w:t xml:space="preserve"> </w:t>
      </w:r>
    </w:p>
    <w:p>
      <w:pPr>
        <w:spacing w:line="580" w:lineRule="exact"/>
        <w:ind w:firstLine="640" w:firstLineChars="200"/>
        <w:rPr>
          <w:rFonts w:hint="eastAsia" w:ascii="仿宋_GB2312" w:hAnsi="宋体" w:eastAsia="仿宋_GB2312" w:cs="Times New Roman"/>
          <w:sz w:val="32"/>
          <w:szCs w:val="32"/>
          <w:lang w:eastAsia="zh-CN"/>
        </w:rPr>
      </w:pPr>
      <w:bookmarkStart w:id="8" w:name="CONTENT_NEW"/>
      <w:r>
        <w:rPr>
          <w:rFonts w:hint="eastAsia" w:ascii="仿宋_GB2312" w:hAnsi="宋体" w:eastAsia="仿宋_GB2312" w:cs="Times New Roman"/>
          <w:sz w:val="32"/>
          <w:szCs w:val="32"/>
          <w:lang w:eastAsia="zh-CN"/>
        </w:rPr>
        <w:t>您提出的《关于</w:t>
      </w:r>
      <w:r>
        <w:rPr>
          <w:rFonts w:hint="eastAsia" w:ascii="仿宋_GB2312" w:hAnsi="宋体" w:eastAsia="仿宋_GB2312" w:cs="Times New Roman"/>
          <w:sz w:val="32"/>
          <w:szCs w:val="32"/>
          <w:lang w:val="en-US" w:eastAsia="zh-CN"/>
        </w:rPr>
        <w:t>在原特区外探索“盒子+街区”商圈模式拉动消费，促进工业和服务业双轮驱动</w:t>
      </w:r>
      <w:r>
        <w:rPr>
          <w:rFonts w:hint="eastAsia" w:ascii="仿宋_GB2312" w:hAnsi="宋体" w:eastAsia="仿宋_GB2312" w:cs="Times New Roman"/>
          <w:sz w:val="32"/>
          <w:szCs w:val="32"/>
          <w:lang w:eastAsia="zh-CN"/>
        </w:rPr>
        <w:t>的提案》收悉。</w:t>
      </w:r>
      <w:r>
        <w:rPr>
          <w:rFonts w:hint="eastAsia" w:ascii="仿宋_GB2312" w:hAnsi="宋体" w:eastAsia="仿宋_GB2312" w:cs="Times New Roman"/>
          <w:sz w:val="32"/>
          <w:szCs w:val="32"/>
          <w:lang w:val="en-US" w:eastAsia="zh-CN"/>
        </w:rPr>
        <w:t>该提案由我局主办，市商务局、市工业和信息化局会办，</w:t>
      </w:r>
      <w:r>
        <w:rPr>
          <w:rFonts w:hint="eastAsia" w:ascii="仿宋_GB2312" w:hAnsi="宋体" w:eastAsia="仿宋_GB2312" w:cs="Times New Roman"/>
          <w:sz w:val="32"/>
          <w:szCs w:val="32"/>
          <w:lang w:eastAsia="zh-CN"/>
        </w:rPr>
        <w:t>现将有关意见函复如下：</w:t>
      </w:r>
    </w:p>
    <w:p>
      <w:pPr>
        <w:spacing w:line="580" w:lineRule="exact"/>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一、关于快速出台相关政策，因地制宜管控土地的建议</w:t>
      </w:r>
    </w:p>
    <w:p>
      <w:pPr>
        <w:spacing w:line="58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十九大报告中，习近平总书记指出“建设现代化经济体系，必须把发展经济的着力点放在实体经济上”。一直以来，工业发展是我市经济社会和城市建设快速发展的重要支撑力量。在未来很长一段时间仍需要发挥工业尤其是制造业等实体经济的支撑作用。因此力保工业用地总规模、保障制造业发展所需的产业空间是当务之急和重中之重。</w:t>
      </w:r>
      <w:r>
        <w:rPr>
          <w:rFonts w:hint="eastAsia" w:ascii="仿宋_GB2312" w:hAnsi="宋体" w:eastAsia="仿宋_GB2312" w:cs="Times New Roman"/>
          <w:sz w:val="32"/>
          <w:szCs w:val="32"/>
        </w:rPr>
        <w:t>我市于2018年对全市产业空间进行优化调整，按照集中连片、合理布局的原则，划定270平方公里工业区块线，并出台《深圳市工业区块线管理办法》</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以下简称“《管理办法》”</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以严守生态红线的标准严守产业空间底线。《管理办法》明确规定工业区块线内规划工业用地予以严格保护，原则上不得建设商品住宅和大型商业服务业设施，除因公共服务设施、市政和交通基础设施、绿地等公共利益需要，原则上不得调整为其他非工业用途。</w:t>
      </w:r>
      <w:r>
        <w:rPr>
          <w:rFonts w:hint="eastAsia" w:ascii="仿宋_GB2312" w:hAnsi="宋体" w:eastAsia="仿宋_GB2312" w:cs="Times New Roman"/>
          <w:sz w:val="32"/>
          <w:szCs w:val="32"/>
          <w:lang w:val="en-US" w:eastAsia="zh-CN"/>
        </w:rPr>
        <w:t>市工业和信息化局也建议进一步强化工业用地管理，务必严格按照《管理办法》执行，坚决杜绝随意转换工业厂房用途、变工业为商业等做法，确保我市制造业发展空间。</w:t>
      </w:r>
    </w:p>
    <w:p>
      <w:pPr>
        <w:spacing w:line="580" w:lineRule="exact"/>
        <w:ind w:firstLine="640" w:firstLineChars="200"/>
        <w:rPr>
          <w:rFonts w:hint="default"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二、关于合理布局，大力提升商圈生命力的建议</w:t>
      </w:r>
    </w:p>
    <w:p>
      <w:pPr>
        <w:spacing w:line="58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目前，市商务局正在研究制定《深圳市关于加快商贸高质量发展建设国际消费中心城市的若干措施》，计划通过出台政策，加强商业网点和商圈规划布局统筹，提高商业设施用地保障，在包括原特区外的重点片区开发、城市更新等工作中，合理规划布局综合体、酒店、物流节点等商业基础设施。同时，加大商业用地全周期管理，探索设立商业服务设施建设项目准入制度，加强规划设计、开发建设、运行管理等统筹，全面提升商业设施规划建设水平。</w:t>
      </w:r>
    </w:p>
    <w:p>
      <w:pPr>
        <w:numPr>
          <w:ilvl w:val="0"/>
          <w:numId w:val="1"/>
        </w:numPr>
        <w:spacing w:line="58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关于双举并措，突出特色，抗风险能力和文旅融合能力双提升的建议。</w:t>
      </w:r>
    </w:p>
    <w:p>
      <w:pPr>
        <w:numPr>
          <w:ilvl w:val="0"/>
          <w:numId w:val="0"/>
        </w:numPr>
        <w:spacing w:line="580" w:lineRule="exact"/>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市商务局将结合委员建议，实施商圈建设提升三年行动，将步行街和夜间经济示范街提升改造纳入城市新型基础设施建设投资项目。接下来，计划对标国际一流标准，拟开展国际化商业消费街区建设试点，明确力争用</w:t>
      </w:r>
      <w:r>
        <w:rPr>
          <w:rFonts w:hint="default" w:ascii="仿宋_GB2312" w:hAnsi="宋体" w:eastAsia="仿宋_GB2312" w:cs="Times New Roman"/>
          <w:sz w:val="32"/>
          <w:szCs w:val="32"/>
          <w:lang w:val="en-US" w:eastAsia="zh-CN"/>
        </w:rPr>
        <w:t>5</w:t>
      </w:r>
      <w:r>
        <w:rPr>
          <w:rFonts w:hint="eastAsia" w:ascii="仿宋_GB2312" w:hAnsi="宋体" w:eastAsia="仿宋_GB2312" w:cs="Times New Roman"/>
          <w:sz w:val="32"/>
          <w:szCs w:val="32"/>
          <w:lang w:val="en-US" w:eastAsia="zh-CN"/>
        </w:rPr>
        <w:t>年时间建成一批高品质商圈、特色步行街和夜间经济示范街区。支持包含原特区外在内的示范街区沿街物业大堂等开设轻餐饮、零售店、网红打卡店等业态，在确保消防安全情况下打通街区连接，丰富街区商业、休闲生态，大力推进重点商圈多元化发展。对符合标准且通过验收的示范街区给予奖励。结合东门步行街改造试点经验，推动各区落实</w:t>
      </w:r>
      <w:r>
        <w:rPr>
          <w:rFonts w:hint="default" w:ascii="仿宋_GB2312" w:hAnsi="宋体" w:eastAsia="仿宋_GB2312" w:cs="Times New Roman"/>
          <w:sz w:val="32"/>
          <w:szCs w:val="32"/>
          <w:lang w:val="en-US" w:eastAsia="zh-CN"/>
        </w:rPr>
        <w:t>1</w:t>
      </w:r>
      <w:r>
        <w:rPr>
          <w:rFonts w:hint="eastAsia" w:ascii="仿宋_GB2312" w:hAnsi="宋体" w:eastAsia="仿宋_GB2312" w:cs="Times New Roman"/>
          <w:sz w:val="32"/>
          <w:szCs w:val="32"/>
          <w:lang w:val="en-US" w:eastAsia="zh-CN"/>
        </w:rPr>
        <w:t>—</w:t>
      </w:r>
      <w:r>
        <w:rPr>
          <w:rFonts w:hint="default" w:ascii="仿宋_GB2312" w:hAnsi="宋体" w:eastAsia="仿宋_GB2312" w:cs="Times New Roman"/>
          <w:sz w:val="32"/>
          <w:szCs w:val="32"/>
          <w:lang w:val="en-US" w:eastAsia="zh-CN"/>
        </w:rPr>
        <w:t>2</w:t>
      </w:r>
      <w:r>
        <w:rPr>
          <w:rFonts w:hint="eastAsia" w:ascii="仿宋_GB2312" w:hAnsi="宋体" w:eastAsia="仿宋_GB2312" w:cs="Times New Roman"/>
          <w:sz w:val="32"/>
          <w:szCs w:val="32"/>
          <w:lang w:val="en-US" w:eastAsia="zh-CN"/>
        </w:rPr>
        <w:t>条步行街作为重点项目，通过规划引领、设施改造、业态优化等方式，引进高水平运营机构整体开发，打造多元化的“盒子</w:t>
      </w:r>
      <w:r>
        <w:rPr>
          <w:rFonts w:hint="default" w:ascii="仿宋_GB2312" w:hAnsi="宋体" w:eastAsia="仿宋_GB2312" w:cs="Times New Roman"/>
          <w:sz w:val="32"/>
          <w:szCs w:val="32"/>
          <w:lang w:val="en-US" w:eastAsia="zh-CN"/>
        </w:rPr>
        <w:t>+</w:t>
      </w:r>
      <w:r>
        <w:rPr>
          <w:rFonts w:hint="eastAsia" w:ascii="仿宋_GB2312" w:hAnsi="宋体" w:eastAsia="仿宋_GB2312" w:cs="Times New Roman"/>
          <w:sz w:val="32"/>
          <w:szCs w:val="32"/>
          <w:lang w:val="en-US" w:eastAsia="zh-CN"/>
        </w:rPr>
        <w:t>街区”特色商圈。</w:t>
      </w:r>
    </w:p>
    <w:p>
      <w:pPr>
        <w:spacing w:line="58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感谢您对</w:t>
      </w:r>
      <w:r>
        <w:rPr>
          <w:rFonts w:hint="eastAsia" w:ascii="仿宋_GB2312" w:hAnsi="宋体" w:eastAsia="仿宋_GB2312" w:cs="Times New Roman"/>
          <w:sz w:val="32"/>
          <w:szCs w:val="32"/>
          <w:lang w:val="en-US" w:eastAsia="zh-CN"/>
        </w:rPr>
        <w:t>我市规划和自然资源工作</w:t>
      </w:r>
      <w:r>
        <w:rPr>
          <w:rFonts w:hint="eastAsia" w:ascii="仿宋_GB2312" w:hAnsi="宋体" w:eastAsia="仿宋_GB2312" w:cs="Times New Roman"/>
          <w:sz w:val="32"/>
          <w:szCs w:val="32"/>
          <w:lang w:eastAsia="zh-CN"/>
        </w:rPr>
        <w:t>的支持。</w:t>
      </w:r>
    </w:p>
    <w:bookmarkEnd w:id="8"/>
    <w:p>
      <w:pPr>
        <w:spacing w:line="580" w:lineRule="exact"/>
        <w:ind w:right="1040"/>
        <w:jc w:val="right"/>
        <w:rPr>
          <w:rFonts w:hint="eastAsia" w:ascii="仿宋_GB2312" w:hAnsi="Times New Roman" w:eastAsia="仿宋_GB2312" w:cs="Times New Roman"/>
          <w:sz w:val="32"/>
          <w:szCs w:val="32"/>
        </w:rPr>
      </w:pPr>
    </w:p>
    <w:p>
      <w:pPr>
        <w:spacing w:line="580" w:lineRule="exact"/>
        <w:ind w:right="1040"/>
        <w:jc w:val="right"/>
        <w:rPr>
          <w:rFonts w:hint="eastAsia" w:ascii="仿宋_GB2312" w:hAnsi="Times New Roman" w:eastAsia="仿宋_GB2312" w:cs="Times New Roman"/>
          <w:sz w:val="32"/>
          <w:szCs w:val="32"/>
        </w:rPr>
      </w:pPr>
    </w:p>
    <w:p>
      <w:pPr>
        <w:wordWrap w:val="0"/>
        <w:spacing w:line="580" w:lineRule="exact"/>
        <w:ind w:right="567"/>
        <w:jc w:val="right"/>
        <w:rPr>
          <w:rFonts w:hint="eastAsia" w:ascii="仿宋_GB2312" w:hAnsi="Times New Roman" w:eastAsia="仿宋_GB2312" w:cs="Times New Roman"/>
          <w:sz w:val="32"/>
          <w:szCs w:val="32"/>
          <w:lang w:eastAsia="zh-CN"/>
        </w:rPr>
      </w:pPr>
      <w:bookmarkStart w:id="9" w:name="BUREAU_NAME_JP"/>
      <w:r>
        <w:rPr>
          <w:rFonts w:hint="eastAsia" w:ascii="仿宋_GB2312" w:hAnsi="Times New Roman" w:eastAsia="仿宋_GB2312" w:cs="Times New Roman"/>
          <w:sz w:val="32"/>
          <w:szCs w:val="32"/>
          <w:lang w:eastAsia="zh-CN"/>
        </w:rPr>
        <w:t>市规划和自然资源局</w:t>
      </w:r>
      <w:bookmarkEnd w:id="9"/>
    </w:p>
    <w:p>
      <w:pPr>
        <w:wordWrap w:val="0"/>
        <w:spacing w:line="580" w:lineRule="exact"/>
        <w:ind w:right="822"/>
        <w:jc w:val="right"/>
        <w:rPr>
          <w:rFonts w:hint="eastAsia" w:ascii="仿宋_GB2312" w:hAnsi="Times New Roman" w:eastAsia="仿宋_GB2312" w:cs="Times New Roman"/>
          <w:sz w:val="32"/>
          <w:szCs w:val="32"/>
          <w:lang w:eastAsia="zh-CN"/>
        </w:rPr>
      </w:pPr>
      <w:bookmarkStart w:id="10" w:name="INSCRIBE_DATE"/>
      <w:r>
        <w:rPr>
          <w:rFonts w:hint="eastAsia" w:ascii="仿宋_GB2312" w:hAnsi="Times New Roman" w:eastAsia="仿宋_GB2312" w:cs="Times New Roman"/>
          <w:sz w:val="32"/>
          <w:szCs w:val="32"/>
          <w:lang w:eastAsia="zh-CN"/>
        </w:rPr>
        <w:t>2021年9月7日</w:t>
      </w:r>
      <w:bookmarkEnd w:id="10"/>
    </w:p>
    <w:p>
      <w:pPr>
        <w:spacing w:line="580" w:lineRule="exact"/>
        <w:ind w:firstLine="560" w:firstLineChars="200"/>
        <w:rPr>
          <w:rFonts w:hint="eastAsia" w:ascii="Times New Roman" w:hAnsi="Times New Roman" w:eastAsia="宋体" w:cs="Times New Roman"/>
          <w:sz w:val="28"/>
        </w:rPr>
      </w:pPr>
    </w:p>
    <w:p>
      <w:pPr>
        <w:spacing w:line="58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（联系人：</w:t>
      </w:r>
      <w:bookmarkStart w:id="11" w:name="LINKMAN"/>
      <w:r>
        <w:rPr>
          <w:rFonts w:hint="eastAsia" w:ascii="仿宋_GB2312" w:hAnsi="Times New Roman" w:eastAsia="仿宋_GB2312" w:cs="Times New Roman"/>
          <w:sz w:val="32"/>
          <w:szCs w:val="32"/>
          <w:lang w:eastAsia="zh-CN"/>
        </w:rPr>
        <w:t>姚雅琼</w:t>
      </w:r>
      <w:bookmarkEnd w:id="11"/>
      <w:r>
        <w:rPr>
          <w:rFonts w:hint="eastAsia" w:ascii="仿宋_GB2312" w:hAnsi="Times New Roman" w:eastAsia="仿宋_GB2312" w:cs="Times New Roman"/>
          <w:sz w:val="32"/>
          <w:szCs w:val="32"/>
        </w:rPr>
        <w:t>，联系电话：</w:t>
      </w:r>
      <w:bookmarkStart w:id="12" w:name="LINKTEL"/>
      <w:r>
        <w:rPr>
          <w:rFonts w:hint="eastAsia" w:ascii="仿宋_GB2312" w:hAnsi="Times New Roman" w:eastAsia="仿宋_GB2312" w:cs="Times New Roman"/>
          <w:sz w:val="32"/>
          <w:szCs w:val="32"/>
          <w:lang w:eastAsia="zh-CN"/>
        </w:rPr>
        <w:t>23965990</w:t>
      </w:r>
      <w:bookmarkEnd w:id="12"/>
      <w:r>
        <w:rPr>
          <w:rFonts w:hint="eastAsia" w:ascii="仿宋_GB2312" w:hAnsi="Times New Roman" w:eastAsia="仿宋_GB2312" w:cs="Times New Roman"/>
          <w:sz w:val="32"/>
          <w:szCs w:val="32"/>
        </w:rPr>
        <w:t>）</w:t>
      </w:r>
    </w:p>
    <w:p>
      <w:pPr>
        <w:spacing w:line="580" w:lineRule="exact"/>
        <w:ind w:firstLine="640" w:firstLineChars="200"/>
        <w:rPr>
          <w:rFonts w:hint="eastAsia" w:ascii="仿宋_GB2312" w:hAnsi="Times New Roman" w:eastAsia="仿宋_GB2312" w:cs="Times New Roman"/>
          <w:sz w:val="32"/>
          <w:szCs w:val="32"/>
        </w:rPr>
      </w:pPr>
    </w:p>
    <w:p>
      <w:pPr>
        <w:spacing w:line="580" w:lineRule="exact"/>
        <w:ind w:firstLine="640" w:firstLineChars="200"/>
        <w:rPr>
          <w:rFonts w:hint="eastAsia" w:ascii="仿宋_GB2312" w:hAnsi="Times New Roman" w:eastAsia="仿宋_GB2312" w:cs="Times New Roman"/>
          <w:sz w:val="32"/>
          <w:szCs w:val="32"/>
        </w:rPr>
      </w:pPr>
    </w:p>
    <w:p>
      <w:pPr>
        <w:spacing w:line="580" w:lineRule="exact"/>
        <w:ind w:firstLine="640" w:firstLineChars="200"/>
        <w:rPr>
          <w:rFonts w:hint="eastAsia" w:ascii="仿宋_GB2312" w:hAnsi="Times New Roman" w:eastAsia="仿宋_GB2312" w:cs="Times New Roman"/>
          <w:sz w:val="32"/>
          <w:szCs w:val="32"/>
        </w:rPr>
      </w:pPr>
    </w:p>
    <w:p>
      <w:pPr>
        <w:spacing w:line="580" w:lineRule="exact"/>
        <w:ind w:firstLine="640" w:firstLineChars="200"/>
        <w:rPr>
          <w:rFonts w:hint="eastAsia" w:ascii="仿宋_GB2312" w:hAnsi="Times New Roman" w:eastAsia="仿宋_GB2312" w:cs="Times New Roman"/>
          <w:sz w:val="32"/>
          <w:szCs w:val="32"/>
        </w:rPr>
      </w:pPr>
    </w:p>
    <w:p>
      <w:pPr>
        <w:spacing w:line="580" w:lineRule="exact"/>
        <w:ind w:firstLine="640" w:firstLineChars="200"/>
        <w:rPr>
          <w:rFonts w:hint="eastAsia" w:ascii="仿宋_GB2312" w:hAnsi="Times New Roman" w:eastAsia="仿宋_GB2312" w:cs="Times New Roman"/>
          <w:sz w:val="32"/>
          <w:szCs w:val="32"/>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autofit"/>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hAnsi="Times New Roman" w:eastAsia="仿宋_GB2312" w:cs="Times New Roman"/>
                <w:sz w:val="32"/>
                <w:szCs w:val="32"/>
                <w:lang w:eastAsia="zh-CN"/>
              </w:rPr>
            </w:pPr>
            <w:bookmarkStart w:id="13" w:name="COPY_TO"/>
            <w:bookmarkEnd w:id="13"/>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hAnsi="Times New Roman" w:eastAsia="仿宋_GB2312" w:cs="Times New Roman"/>
                <w:spacing w:val="-100"/>
                <w:sz w:val="32"/>
                <w:szCs w:val="32"/>
                <w:lang w:eastAsia="zh-CN"/>
              </w:rPr>
            </w:pPr>
            <w:bookmarkStart w:id="14" w:name="TWO_DIMENSIONAL_CODE"/>
            <w:r>
              <w:rPr>
                <w:rFonts w:hint="eastAsia" w:ascii="仿宋_GB2312" w:hAnsi="Times New Roman" w:eastAsia="仿宋_GB2312" w:cs="Times New Roman"/>
                <w:spacing w:val="-100"/>
                <w:sz w:val="32"/>
                <w:szCs w:val="32"/>
                <w:lang w:eastAsia="zh-CN"/>
              </w:rPr>
              <w:drawing>
                <wp:inline distT="0" distB="0" distL="114300" distR="114300">
                  <wp:extent cx="1666875" cy="419100"/>
                  <wp:effectExtent l="0" t="0" r="9525" b="0"/>
                  <wp:docPr id="1" name="图片 1" descr="~ggimg202109081755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08175515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hAnsi="Times New Roman" w:eastAsia="仿宋_GB2312" w:cs="Times New Roman"/>
                <w:spacing w:val="-100"/>
                <w:sz w:val="32"/>
                <w:szCs w:val="32"/>
                <w:lang w:eastAsia="zh-CN"/>
              </w:rPr>
              <w:t xml:space="preserve">  </w:t>
            </w:r>
            <w:bookmarkEnd w:id="14"/>
          </w:p>
        </w:tc>
      </w:tr>
    </w:tbl>
    <w:p>
      <w:pPr>
        <w:spacing w:line="20" w:lineRule="exact"/>
        <w:ind w:right="3532"/>
        <w:rPr>
          <w:rFonts w:hint="eastAsia" w:ascii="仿宋_GB2312" w:hAnsi="Times New Roman" w:eastAsia="仿宋_GB2312" w:cs="Times New Roman"/>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cs="Times New Roman"/>
        <w:sz w:val="28"/>
      </w:rPr>
    </w:pPr>
    <w:r>
      <w:rPr>
        <w:rFonts w:hint="eastAsia" w:ascii="仿宋_GB2312" w:hAnsi="宋体" w:eastAsia="仿宋_GB2312" w:cs="Times New Roman"/>
        <w:kern w:val="0"/>
        <w:sz w:val="28"/>
        <w:szCs w:val="21"/>
      </w:rPr>
      <w:t xml:space="preserve">- </w:t>
    </w:r>
    <w:r>
      <w:rPr>
        <w:rFonts w:hint="eastAsia" w:ascii="仿宋_GB2312" w:hAnsi="宋体" w:eastAsia="仿宋_GB2312" w:cs="Times New Roman"/>
        <w:kern w:val="0"/>
        <w:sz w:val="28"/>
        <w:szCs w:val="21"/>
      </w:rPr>
      <w:fldChar w:fldCharType="begin"/>
    </w:r>
    <w:r>
      <w:rPr>
        <w:rFonts w:hint="eastAsia" w:ascii="仿宋_GB2312" w:hAnsi="宋体" w:eastAsia="仿宋_GB2312" w:cs="Times New Roman"/>
        <w:kern w:val="0"/>
        <w:sz w:val="28"/>
        <w:szCs w:val="21"/>
      </w:rPr>
      <w:instrText xml:space="preserve"> PAGE </w:instrText>
    </w:r>
    <w:r>
      <w:rPr>
        <w:rFonts w:hint="eastAsia" w:ascii="仿宋_GB2312" w:hAnsi="宋体" w:eastAsia="仿宋_GB2312" w:cs="Times New Roman"/>
        <w:kern w:val="0"/>
        <w:sz w:val="28"/>
        <w:szCs w:val="21"/>
      </w:rPr>
      <w:fldChar w:fldCharType="separate"/>
    </w:r>
    <w:r>
      <w:rPr>
        <w:rFonts w:ascii="仿宋_GB2312" w:hAnsi="宋体" w:eastAsia="仿宋_GB2312" w:cs="Times New Roman"/>
        <w:kern w:val="0"/>
        <w:sz w:val="28"/>
        <w:szCs w:val="21"/>
      </w:rPr>
      <w:t>3</w:t>
    </w:r>
    <w:r>
      <w:rPr>
        <w:rFonts w:hint="eastAsia" w:ascii="仿宋_GB2312" w:hAnsi="宋体" w:eastAsia="仿宋_GB2312" w:cs="Times New Roman"/>
        <w:kern w:val="0"/>
        <w:sz w:val="28"/>
        <w:szCs w:val="21"/>
      </w:rPr>
      <w:fldChar w:fldCharType="end"/>
    </w:r>
    <w:r>
      <w:rPr>
        <w:rFonts w:hint="eastAsia" w:ascii="仿宋_GB2312" w:hAnsi="宋体" w:eastAsia="仿宋_GB2312" w:cs="Times New Roman"/>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cs="Times New Roman"/>
        <w:sz w:val="28"/>
      </w:rPr>
    </w:pPr>
    <w:r>
      <w:rPr>
        <w:rFonts w:hint="eastAsia" w:ascii="仿宋_GB2312" w:hAnsi="宋体" w:eastAsia="仿宋_GB2312" w:cs="Times New Roman"/>
        <w:kern w:val="0"/>
        <w:sz w:val="28"/>
        <w:szCs w:val="21"/>
      </w:rPr>
      <w:t xml:space="preserve">- </w:t>
    </w:r>
    <w:r>
      <w:rPr>
        <w:rFonts w:hint="eastAsia" w:ascii="仿宋_GB2312" w:hAnsi="宋体" w:eastAsia="仿宋_GB2312" w:cs="Times New Roman"/>
        <w:kern w:val="0"/>
        <w:sz w:val="28"/>
        <w:szCs w:val="21"/>
      </w:rPr>
      <w:fldChar w:fldCharType="begin"/>
    </w:r>
    <w:r>
      <w:rPr>
        <w:rFonts w:hint="eastAsia" w:ascii="仿宋_GB2312" w:hAnsi="宋体" w:eastAsia="仿宋_GB2312" w:cs="Times New Roman"/>
        <w:kern w:val="0"/>
        <w:sz w:val="28"/>
        <w:szCs w:val="21"/>
      </w:rPr>
      <w:instrText xml:space="preserve"> PAGE </w:instrText>
    </w:r>
    <w:r>
      <w:rPr>
        <w:rFonts w:hint="eastAsia" w:ascii="仿宋_GB2312" w:hAnsi="宋体" w:eastAsia="仿宋_GB2312" w:cs="Times New Roman"/>
        <w:kern w:val="0"/>
        <w:sz w:val="28"/>
        <w:szCs w:val="21"/>
      </w:rPr>
      <w:fldChar w:fldCharType="separate"/>
    </w:r>
    <w:r>
      <w:rPr>
        <w:rFonts w:ascii="仿宋_GB2312" w:hAnsi="宋体" w:eastAsia="仿宋_GB2312" w:cs="Times New Roman"/>
        <w:kern w:val="0"/>
        <w:sz w:val="28"/>
        <w:szCs w:val="21"/>
      </w:rPr>
      <w:t>2</w:t>
    </w:r>
    <w:r>
      <w:rPr>
        <w:rFonts w:hint="eastAsia" w:ascii="仿宋_GB2312" w:hAnsi="宋体" w:eastAsia="仿宋_GB2312" w:cs="Times New Roman"/>
        <w:kern w:val="0"/>
        <w:sz w:val="28"/>
        <w:szCs w:val="21"/>
      </w:rPr>
      <w:fldChar w:fldCharType="end"/>
    </w:r>
    <w:r>
      <w:rPr>
        <w:rFonts w:hint="eastAsia" w:ascii="仿宋_GB2312" w:hAnsi="宋体" w:eastAsia="仿宋_GB2312" w:cs="Times New Roman"/>
        <w:kern w:val="0"/>
        <w:sz w:val="28"/>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737F6"/>
    <w:multiLevelType w:val="singleLevel"/>
    <w:tmpl w:val="122737F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721A2"/>
    <w:rsid w:val="006B0A4C"/>
    <w:rsid w:val="02E93329"/>
    <w:rsid w:val="03BB12AB"/>
    <w:rsid w:val="074069B7"/>
    <w:rsid w:val="088A1C3A"/>
    <w:rsid w:val="090A46C4"/>
    <w:rsid w:val="0C902D0F"/>
    <w:rsid w:val="0DB961B1"/>
    <w:rsid w:val="14930AA5"/>
    <w:rsid w:val="15D374B1"/>
    <w:rsid w:val="170F3BC4"/>
    <w:rsid w:val="174D2A13"/>
    <w:rsid w:val="1751476B"/>
    <w:rsid w:val="19B24659"/>
    <w:rsid w:val="1BEA2A3C"/>
    <w:rsid w:val="1F5C10E1"/>
    <w:rsid w:val="26CC62C3"/>
    <w:rsid w:val="2A7B5FE6"/>
    <w:rsid w:val="2AFC032F"/>
    <w:rsid w:val="2DB45227"/>
    <w:rsid w:val="2EA062C5"/>
    <w:rsid w:val="2F1418A7"/>
    <w:rsid w:val="31717B3B"/>
    <w:rsid w:val="31DD4FF8"/>
    <w:rsid w:val="32CB58B4"/>
    <w:rsid w:val="33522778"/>
    <w:rsid w:val="34DC7810"/>
    <w:rsid w:val="35BD1C0E"/>
    <w:rsid w:val="35F0145F"/>
    <w:rsid w:val="36374FA2"/>
    <w:rsid w:val="36436E64"/>
    <w:rsid w:val="37537757"/>
    <w:rsid w:val="37C838C8"/>
    <w:rsid w:val="37EE1805"/>
    <w:rsid w:val="38D40DF8"/>
    <w:rsid w:val="39424E3A"/>
    <w:rsid w:val="3A204A2F"/>
    <w:rsid w:val="3BC13E4C"/>
    <w:rsid w:val="3D811FFD"/>
    <w:rsid w:val="3DDE2C58"/>
    <w:rsid w:val="420B162B"/>
    <w:rsid w:val="435A4927"/>
    <w:rsid w:val="44652F96"/>
    <w:rsid w:val="458F1E8C"/>
    <w:rsid w:val="4AF47E31"/>
    <w:rsid w:val="4B7B45B8"/>
    <w:rsid w:val="4BCD4378"/>
    <w:rsid w:val="4EB02572"/>
    <w:rsid w:val="4EEB52F2"/>
    <w:rsid w:val="4F4D3623"/>
    <w:rsid w:val="526239BE"/>
    <w:rsid w:val="532C7BCF"/>
    <w:rsid w:val="56EF4FFD"/>
    <w:rsid w:val="573721A2"/>
    <w:rsid w:val="59E1169E"/>
    <w:rsid w:val="5BD4239D"/>
    <w:rsid w:val="5F3C0E89"/>
    <w:rsid w:val="64C97B9A"/>
    <w:rsid w:val="6A2A4A15"/>
    <w:rsid w:val="6B045D6A"/>
    <w:rsid w:val="6BCC027A"/>
    <w:rsid w:val="70955F2F"/>
    <w:rsid w:val="73DB6CA5"/>
    <w:rsid w:val="747B1174"/>
    <w:rsid w:val="781C7429"/>
    <w:rsid w:val="79E13D60"/>
    <w:rsid w:val="7CBF24A5"/>
    <w:rsid w:val="7E8152BA"/>
    <w:rsid w:val="7F685521"/>
    <w:rsid w:val="7F973A1A"/>
    <w:rsid w:val="7FDE1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2021-11-11T09:51:00Z</dcterms:created>
  <dc:creator>姚雅琼</dc:creator>
  <cp:lastModifiedBy>姚雅琼</cp:lastModifiedBy>
  <dcterms:modified xsi:type="dcterms:W3CDTF">2021-11-11T09:52:37Z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