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2415</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4" w:name="COVERRED_DEL_END"/>
    </w:p>
    <w:bookmarkEnd w:id="4"/>
    <w:p>
      <w:pPr>
        <w:spacing w:line="580" w:lineRule="exact"/>
        <w:jc w:val="center"/>
        <w:rPr>
          <w:rFonts w:hint="eastAsia" w:ascii="方正小标宋简体" w:eastAsia="方正小标宋简体"/>
          <w:sz w:val="44"/>
          <w:szCs w:val="44"/>
          <w:lang w:eastAsia="zh-CN"/>
        </w:rPr>
      </w:pPr>
      <w:bookmarkStart w:id="5" w:name="TITLE_NEW"/>
      <w:r>
        <w:rPr>
          <w:rFonts w:hint="eastAsia" w:ascii="方正小标宋简体" w:hAnsi="宋体" w:eastAsia="方正小标宋简体"/>
          <w:sz w:val="44"/>
          <w:szCs w:val="44"/>
          <w:lang w:eastAsia="zh-CN"/>
        </w:rPr>
        <w:t>市规划和自然资源局关于市政协七届一次会议第20210227号提案答复意见的函</w:t>
      </w:r>
      <w:bookmarkEnd w:id="5"/>
    </w:p>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lang w:val="en-US" w:eastAsia="zh-CN"/>
        </w:rPr>
        <w:t>尊敬的谢书荣委员</w:t>
      </w:r>
      <w:r>
        <w:rPr>
          <w:rFonts w:hint="eastAsia" w:ascii="仿宋_GB2312" w:hAnsi="宋体" w:eastAsia="仿宋_GB2312"/>
          <w:sz w:val="32"/>
          <w:szCs w:val="32"/>
          <w:lang w:eastAsia="zh-CN"/>
        </w:rPr>
        <w:t>:</w:t>
      </w:r>
      <w:bookmarkEnd w:id="6"/>
      <w:r>
        <w:rPr>
          <w:rFonts w:hint="eastAsia" w:ascii="仿宋_GB2312" w:hAnsi="宋体" w:eastAsia="仿宋_GB2312"/>
          <w:sz w:val="32"/>
          <w:szCs w:val="32"/>
        </w:rPr>
        <w:t xml:space="preserve"> </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您在市</w:t>
      </w:r>
      <w:r>
        <w:rPr>
          <w:rFonts w:hint="eastAsia" w:ascii="仿宋_GB2312" w:eastAsia="仿宋_GB2312"/>
          <w:sz w:val="32"/>
          <w:szCs w:val="32"/>
          <w:lang w:val="en-US" w:eastAsia="zh-CN"/>
        </w:rPr>
        <w:t>政协七</w:t>
      </w:r>
      <w:r>
        <w:rPr>
          <w:rFonts w:hint="eastAsia" w:ascii="仿宋_GB2312" w:eastAsia="仿宋_GB2312"/>
          <w:sz w:val="32"/>
          <w:szCs w:val="32"/>
        </w:rPr>
        <w:t>届</w:t>
      </w:r>
      <w:r>
        <w:rPr>
          <w:rFonts w:hint="eastAsia" w:ascii="仿宋_GB2312" w:eastAsia="仿宋_GB2312"/>
          <w:sz w:val="32"/>
          <w:szCs w:val="32"/>
          <w:lang w:val="en-US" w:eastAsia="zh-CN"/>
        </w:rPr>
        <w:t>一</w:t>
      </w:r>
      <w:r>
        <w:rPr>
          <w:rFonts w:hint="eastAsia" w:ascii="仿宋_GB2312" w:eastAsia="仿宋_GB2312"/>
          <w:sz w:val="32"/>
          <w:szCs w:val="32"/>
        </w:rPr>
        <w:t>次会议期间提出的《关于</w:t>
      </w:r>
      <w:r>
        <w:rPr>
          <w:rFonts w:hint="eastAsia" w:ascii="仿宋_GB2312" w:eastAsia="仿宋_GB2312"/>
          <w:sz w:val="32"/>
          <w:szCs w:val="32"/>
          <w:lang w:val="en-US" w:eastAsia="zh-CN"/>
        </w:rPr>
        <w:t>将深圳地铁10号线延长至五联社区的提案</w:t>
      </w:r>
      <w:r>
        <w:rPr>
          <w:rFonts w:hint="eastAsia" w:ascii="仿宋_GB2312" w:eastAsia="仿宋_GB2312"/>
          <w:sz w:val="32"/>
          <w:szCs w:val="32"/>
        </w:rPr>
        <w:t>》（第202</w:t>
      </w:r>
      <w:r>
        <w:rPr>
          <w:rFonts w:hint="eastAsia" w:ascii="仿宋_GB2312" w:eastAsia="仿宋_GB2312"/>
          <w:sz w:val="32"/>
          <w:szCs w:val="32"/>
          <w:lang w:val="en-US" w:eastAsia="zh-CN"/>
        </w:rPr>
        <w:t>10227</w:t>
      </w:r>
      <w:r>
        <w:rPr>
          <w:rFonts w:hint="eastAsia" w:ascii="仿宋_GB2312" w:eastAsia="仿宋_GB2312"/>
          <w:sz w:val="32"/>
          <w:szCs w:val="32"/>
        </w:rPr>
        <w:t>号）收悉。此件由我局</w:t>
      </w:r>
      <w:r>
        <w:rPr>
          <w:rFonts w:hint="eastAsia" w:ascii="仿宋_GB2312" w:eastAsia="仿宋_GB2312"/>
          <w:sz w:val="32"/>
          <w:szCs w:val="32"/>
          <w:lang w:val="en-US" w:eastAsia="zh-CN"/>
        </w:rPr>
        <w:t>主</w:t>
      </w:r>
      <w:r>
        <w:rPr>
          <w:rFonts w:hint="eastAsia" w:ascii="仿宋_GB2312" w:eastAsia="仿宋_GB2312"/>
          <w:sz w:val="32"/>
          <w:szCs w:val="32"/>
        </w:rPr>
        <w:t>办</w:t>
      </w:r>
      <w:r>
        <w:rPr>
          <w:rFonts w:hint="eastAsia" w:ascii="仿宋_GB2312" w:eastAsia="仿宋_GB2312"/>
          <w:sz w:val="32"/>
          <w:szCs w:val="32"/>
          <w:lang w:eastAsia="zh-CN"/>
        </w:rPr>
        <w:t>，</w:t>
      </w:r>
      <w:r>
        <w:rPr>
          <w:rFonts w:hint="eastAsia" w:ascii="仿宋_GB2312" w:eastAsia="仿宋_GB2312"/>
          <w:sz w:val="32"/>
          <w:szCs w:val="32"/>
          <w:lang w:val="en-US" w:eastAsia="zh-CN"/>
        </w:rPr>
        <w:t>市轨道办会办</w:t>
      </w:r>
      <w:r>
        <w:rPr>
          <w:rFonts w:hint="eastAsia" w:ascii="仿宋_GB2312" w:eastAsia="仿宋_GB2312"/>
          <w:sz w:val="32"/>
          <w:szCs w:val="32"/>
        </w:rPr>
        <w:t>。我局对此</w:t>
      </w:r>
      <w:r>
        <w:rPr>
          <w:rFonts w:hint="eastAsia" w:ascii="仿宋_GB2312" w:eastAsia="仿宋_GB2312"/>
          <w:sz w:val="32"/>
          <w:szCs w:val="32"/>
          <w:lang w:val="en-US" w:eastAsia="zh-CN"/>
        </w:rPr>
        <w:t>提案</w:t>
      </w:r>
      <w:r>
        <w:rPr>
          <w:rFonts w:hint="eastAsia" w:ascii="仿宋_GB2312" w:eastAsia="仿宋_GB2312"/>
          <w:sz w:val="32"/>
          <w:szCs w:val="32"/>
        </w:rPr>
        <w:t>高度重视。经认真研究，现就您的</w:t>
      </w:r>
      <w:r>
        <w:rPr>
          <w:rFonts w:hint="eastAsia" w:ascii="仿宋_GB2312" w:eastAsia="仿宋_GB2312"/>
          <w:sz w:val="32"/>
          <w:szCs w:val="32"/>
          <w:lang w:val="en-US" w:eastAsia="zh-CN"/>
        </w:rPr>
        <w:t>建议</w:t>
      </w:r>
      <w:r>
        <w:rPr>
          <w:rFonts w:hint="eastAsia" w:ascii="仿宋_GB2312" w:eastAsia="仿宋_GB2312"/>
          <w:sz w:val="32"/>
          <w:szCs w:val="32"/>
        </w:rPr>
        <w:t>事项答复如下：</w:t>
      </w:r>
    </w:p>
    <w:p>
      <w:pPr>
        <w:spacing w:line="58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一</w:t>
      </w:r>
      <w:r>
        <w:rPr>
          <w:rFonts w:hint="eastAsia" w:ascii="黑体" w:hAnsi="黑体" w:eastAsia="黑体"/>
          <w:sz w:val="32"/>
          <w:szCs w:val="32"/>
        </w:rPr>
        <w:t>、</w:t>
      </w:r>
      <w:r>
        <w:rPr>
          <w:rFonts w:hint="eastAsia" w:ascii="黑体" w:hAnsi="黑体" w:eastAsia="黑体"/>
          <w:sz w:val="32"/>
          <w:szCs w:val="32"/>
          <w:lang w:val="en-US" w:eastAsia="zh-CN"/>
        </w:rPr>
        <w:t>五联片区建筑密集、人口众多、现状交通不便，我们支持引入轨道交通设施以服务出行需求</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五联社区位于深圳市龙岗区龙岗街道北部，现有万科清林径、承翰陶源花园、百合盛世、鸿威的森林等现代化住宅区，瓦窑坑、龙西、朱古石等旧村居住区，也有将军帽、同心、协平、对面岭、宝鹰等工业园区，加上技能实训基地深圳技师学院，建筑密集、人口众多。由于地理位置特殊，现状交通不便，我们充分理解委员及周边居民关于引入轨道交通设施的殷切期望。</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我市于2018年编制完成《深圳市轨道交通线网规划（2016-2035）》（下称《线网规划》），结合城市现状和发展趋势、用地布局及人口岗位分布等对我市未来大中运量通道进行了统筹研究和布局。为了承担龙岗中心城南北向轨道联系，增加五联、宝龙科技园及坪山碧岭片区联系，《线网规划》提出新增31号线。线路由龙岗中心城沿龙城大道、龙西中路引入五联，在社区内部呈L型布局，上述主要居住区、工业区和公共建筑均处于31号线1公里覆盖范围内。31号线在龙城中心与3号线、16号线、21号线、深惠城际及中虎龙城际换乘，在宝龙与14号线、23号线换乘，在坪山碧岭与19号线换乘。线路充分融入我市轨道交通网络，利用互联互通功能，服务五联社区与前海、南山、福田、罗湖等中心区以及宝安、龙华、坪山等各区中心的联系，通过城际线路还可实现与东莞、惠州等周边城市的便捷沟通。</w:t>
      </w:r>
    </w:p>
    <w:p>
      <w:pPr>
        <w:spacing w:line="58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二、轨道交通是系统性工程，单一线路难以解决所有覆盖问题，线网及线路</w:t>
      </w:r>
      <w:r>
        <w:rPr>
          <w:rFonts w:hint="eastAsia" w:ascii="黑体" w:hAnsi="黑体" w:eastAsia="黑体"/>
          <w:sz w:val="32"/>
          <w:szCs w:val="32"/>
        </w:rPr>
        <w:t>规划</w:t>
      </w:r>
      <w:r>
        <w:rPr>
          <w:rFonts w:hint="eastAsia" w:ascii="黑体" w:hAnsi="黑体" w:eastAsia="黑体"/>
          <w:sz w:val="32"/>
          <w:szCs w:val="32"/>
          <w:lang w:val="en-US" w:eastAsia="zh-CN"/>
        </w:rPr>
        <w:t>需遵循一定的</w:t>
      </w:r>
      <w:r>
        <w:rPr>
          <w:rFonts w:hint="eastAsia" w:ascii="黑体" w:hAnsi="黑体" w:eastAsia="黑体"/>
          <w:sz w:val="32"/>
          <w:szCs w:val="32"/>
        </w:rPr>
        <w:t>原则</w:t>
      </w:r>
    </w:p>
    <w:p>
      <w:pPr>
        <w:autoSpaceDE w:val="0"/>
        <w:adjustRightInd w:val="0"/>
        <w:snapToGrid w:val="0"/>
        <w:spacing w:beforeLines="0" w:afterLines="0"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深圳市政府批复的《深圳市综合交通2030发展策略》（深府函〔2015〕234号），城市轨道交通在我市公共交通体系中承担核心和骨干功能，主要服务于重点发展片区、重要客流走廊上的中远距离出行需求。轨道交通是系统性工程，线网规划需综合考虑城市空间结构、土地利用、客流需求、建设运营投资成本等多种因素，从全市层面统筹，构筑网络架构合理、快普功能清晰的轨道网络。</w:t>
      </w:r>
    </w:p>
    <w:p>
      <w:pPr>
        <w:autoSpaceDE w:val="0"/>
        <w:adjustRightInd w:val="0"/>
        <w:snapToGrid w:val="0"/>
        <w:spacing w:beforeLines="0" w:afterLines="0"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国务院办公厅关于进一步加强城市轨道交通规划建设管理的意见》（〔2018〕52号），地铁远期客流规模应达到高峰小时3万人次以上。此外，线路规划还需综合考虑功能定位、网络布局、沿线土地利用、工程实施条件等因素确定，难以通过单条线路直接覆盖城市所有建成区，必须通过线网协调布局或与常规公交、自行车、步行等多种交通方式相互配合，以提升对轨道沿线地区的出行服务。因此，轨道线路布局在规划层面需要有较高密度的城市开发和较大强度的客流需求支撑，以保障轨道交通的可持续发展。</w:t>
      </w:r>
    </w:p>
    <w:p>
      <w:pPr>
        <w:spacing w:line="58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三、10号线东延至五联确有一定意义，但也存在通道重复、客流支撑不足、工程实施困难等问题</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近期，我局会同龙岗区政府对龙岗区内轨道交通系统规划进行了深入座谈，包括10号线东延至五联片区的问题。根据《线网规划》，10号线在现状双拥街站往东延伸至清林路数码城站与16号线、21号线换乘，主要功能为加强平湖、凤岗以及龙岗中心城之间的轨道联系。委员提出从数码城站继续往东北延伸至五联的建议，对于进一步提升五联交通服务水平确有一定意义，但也存在以下问题：</w:t>
      </w:r>
    </w:p>
    <w:p>
      <w:pPr>
        <w:widowControl/>
        <w:spacing w:line="580" w:lineRule="exact"/>
        <w:ind w:firstLine="640" w:firstLineChars="200"/>
        <w:jc w:val="left"/>
        <w:rPr>
          <w:rFonts w:hint="default" w:ascii="楷体_GB2312" w:hAnsi="宋体" w:eastAsia="楷体_GB2312" w:cs="宋体"/>
          <w:kern w:val="0"/>
          <w:sz w:val="32"/>
          <w:szCs w:val="32"/>
          <w:lang w:val="en-US" w:eastAsia="zh-CN"/>
        </w:rPr>
      </w:pPr>
      <w:r>
        <w:rPr>
          <w:rFonts w:hint="eastAsia" w:ascii="楷体_GB2312" w:hAnsi="宋体" w:eastAsia="楷体_GB2312" w:cs="宋体"/>
          <w:kern w:val="0"/>
          <w:sz w:val="32"/>
          <w:szCs w:val="32"/>
          <w:lang w:val="en-US" w:eastAsia="zh-CN"/>
        </w:rPr>
        <w:t>（一）线路走向与31号线基本一致，新增覆盖有限，存在功能重复问题</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10号线与31号线功能定位均为普速线路，</w:t>
      </w:r>
      <w:r>
        <w:rPr>
          <w:rFonts w:hint="eastAsia" w:ascii="仿宋_GB2312" w:hAnsi="宋体" w:eastAsia="仿宋_GB2312" w:cs="宋体"/>
          <w:kern w:val="0"/>
          <w:sz w:val="32"/>
          <w:szCs w:val="32"/>
        </w:rPr>
        <w:t>承担核心区、外围中心地区加密覆盖功能，支撑高密度开发和城市更新。</w:t>
      </w:r>
      <w:r>
        <w:rPr>
          <w:rFonts w:hint="eastAsia" w:ascii="仿宋_GB2312" w:hAnsi="宋体" w:eastAsia="仿宋_GB2312" w:cs="宋体"/>
          <w:kern w:val="0"/>
          <w:sz w:val="32"/>
          <w:szCs w:val="32"/>
          <w:lang w:val="en-US" w:eastAsia="zh-CN"/>
        </w:rPr>
        <w:t>五联社区</w:t>
      </w:r>
      <w:r>
        <w:rPr>
          <w:rFonts w:hint="eastAsia" w:ascii="仿宋_GB2312" w:eastAsia="仿宋_GB2312"/>
          <w:sz w:val="32"/>
          <w:szCs w:val="32"/>
          <w:lang w:val="en-US" w:eastAsia="zh-CN"/>
        </w:rPr>
        <w:t>南北长约2公里，东西长约3公里，整体呈稍狭长布局。</w:t>
      </w:r>
      <w:r>
        <w:rPr>
          <w:rFonts w:hint="eastAsia" w:ascii="仿宋_GB2312" w:hAnsi="宋体" w:eastAsia="仿宋_GB2312" w:cs="宋体"/>
          <w:kern w:val="0"/>
          <w:sz w:val="32"/>
          <w:szCs w:val="32"/>
          <w:lang w:val="en-US" w:eastAsia="zh-CN"/>
        </w:rPr>
        <w:t>10号线由数码城延伸引入后，敷设通道基本处于31号线1公里覆盖范围内，新增覆盖有限。</w:t>
      </w:r>
    </w:p>
    <w:p>
      <w:pPr>
        <w:widowControl/>
        <w:spacing w:line="580" w:lineRule="exact"/>
        <w:ind w:firstLine="640" w:firstLineChars="200"/>
        <w:jc w:val="left"/>
        <w:rPr>
          <w:rFonts w:hint="default" w:ascii="楷体_GB2312" w:hAnsi="宋体" w:eastAsia="楷体_GB2312" w:cs="宋体"/>
          <w:kern w:val="0"/>
          <w:sz w:val="32"/>
          <w:szCs w:val="32"/>
          <w:lang w:val="en-US" w:eastAsia="zh-CN"/>
        </w:rPr>
      </w:pPr>
      <w:r>
        <w:rPr>
          <w:rFonts w:hint="eastAsia" w:ascii="楷体_GB2312" w:hAnsi="宋体" w:eastAsia="楷体_GB2312" w:cs="宋体"/>
          <w:kern w:val="0"/>
          <w:sz w:val="32"/>
          <w:szCs w:val="32"/>
          <w:lang w:val="en-US" w:eastAsia="zh-CN"/>
        </w:rPr>
        <w:t>（二）五联片区规划开发规模难以支撑2条及以上轨道线路，10号线继续东延面临客流不足、不可持续发展的问题</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目前已运营10号线为8A编组列车，设计运能高峰小时可达6万人次以上。10号线由数码城延伸至五联，延伸长度约7公里，投资金额数十亿。根据五联片区法定规划，未来人口岗位规模约17.7万。初步测试10号线延伸段高峰小时最大客流断面不足1万人次，属低运量级别客运通道，远不足高峰小时设计运能，难以满足地铁等大运量轨道交通布局要求。</w:t>
      </w:r>
    </w:p>
    <w:p>
      <w:pPr>
        <w:widowControl/>
        <w:spacing w:line="580" w:lineRule="exact"/>
        <w:ind w:firstLine="640" w:firstLineChars="200"/>
        <w:jc w:val="left"/>
        <w:rPr>
          <w:rFonts w:hint="default" w:ascii="楷体_GB2312" w:hAnsi="宋体" w:eastAsia="楷体_GB2312" w:cs="宋体"/>
          <w:kern w:val="0"/>
          <w:sz w:val="32"/>
          <w:szCs w:val="32"/>
          <w:lang w:val="en-US" w:eastAsia="zh-CN"/>
        </w:rPr>
      </w:pPr>
      <w:r>
        <w:rPr>
          <w:rFonts w:hint="eastAsia" w:ascii="楷体_GB2312" w:hAnsi="宋体" w:eastAsia="楷体_GB2312" w:cs="宋体"/>
          <w:kern w:val="0"/>
          <w:sz w:val="32"/>
          <w:szCs w:val="32"/>
          <w:lang w:val="en-US" w:eastAsia="zh-CN"/>
        </w:rPr>
        <w:t>（三）延伸通道穿越用地、高层建筑多，实施难度大</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通过初步分析，10号线继续东延至五联段主要沿清林路和支路布局。沿线下穿阅山华府（32层）、清林径别墅、紫麟山花园（28层）等多个现状居住小区，穿越城中村和多处规划用地。通道条件不佳，用地协调和工程实施难度大。其它路由通道也面临类似工程可行性差或服务不佳的问题。</w:t>
      </w:r>
    </w:p>
    <w:p>
      <w:pPr>
        <w:spacing w:line="58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四、随着城市发展趋势的变化，逐步调整规划是必要的，我们将在新一轮国土空间规划体系指导下推进相关工作</w:t>
      </w:r>
    </w:p>
    <w:p>
      <w:pPr>
        <w:autoSpaceDE w:val="0"/>
        <w:adjustRightInd w:val="0"/>
        <w:snapToGrid w:val="0"/>
        <w:spacing w:beforeLines="0" w:afterLines="0"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如上文所述，我市现有规划轨道交通网络是与城市总规战略要求紧密协同的前提下，综合考虑城市空间结构、沿线土地利用、交通需求等多方面因素，通过全市1100多个交通小区的大数据分析预测，研判城市和交通未来发展趋势，从网络架构合理、快普功能清晰方面进行充分论证而确定的。</w:t>
      </w:r>
    </w:p>
    <w:p>
      <w:pPr>
        <w:autoSpaceDE w:val="0"/>
        <w:adjustRightInd w:val="0"/>
        <w:snapToGrid w:val="0"/>
        <w:spacing w:beforeLines="0" w:afterLines="0" w:line="58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目前，全市新一轮国土空间总体规划及龙岗区国土空间分区规划正在进行，全市和龙岗区的城市发展战略、目标及布局面临全新地、系统性地梳理和规划。五联社区在新国土空间规划中的发展定位也将发生变化，未来片区空间结构、城市用地布局、建筑开发总量、人口岗位布局等也将面临调整。综合交通是国土空间体系中重要的支撑性专题，轨道交通则是其中举足轻重的基础设施。为此，随着城市新发展趋势的出现 ，结合新的空间结构、用地布局及人口岗位来调整《线网规划》是必要的。后续，我们将在新一轮国土空间总体规划体系的指导下，充分考虑委员及周边市民诉求，进一步优化五联社区轨道交通布局。</w:t>
      </w:r>
    </w:p>
    <w:p>
      <w:pPr>
        <w:spacing w:line="58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五、</w:t>
      </w:r>
      <w:r>
        <w:rPr>
          <w:rFonts w:hint="eastAsia" w:ascii="黑体" w:hAnsi="宋体" w:eastAsia="黑体" w:cs="宋体"/>
          <w:color w:val="000000"/>
          <w:kern w:val="0"/>
          <w:sz w:val="32"/>
          <w:szCs w:val="32"/>
        </w:rPr>
        <w:t>我们将</w:t>
      </w:r>
      <w:r>
        <w:rPr>
          <w:rFonts w:hint="eastAsia" w:ascii="黑体" w:hAnsi="宋体" w:eastAsia="黑体" w:cs="宋体"/>
          <w:color w:val="000000"/>
          <w:kern w:val="0"/>
          <w:sz w:val="32"/>
          <w:szCs w:val="32"/>
          <w:lang w:val="en-US" w:eastAsia="zh-CN"/>
        </w:rPr>
        <w:t>积极推进轨道交通设施建设，</w:t>
      </w:r>
      <w:r>
        <w:rPr>
          <w:rFonts w:hint="eastAsia" w:ascii="黑体" w:hAnsi="宋体" w:eastAsia="黑体" w:cs="宋体"/>
          <w:color w:val="000000"/>
          <w:kern w:val="0"/>
          <w:sz w:val="32"/>
          <w:szCs w:val="32"/>
        </w:rPr>
        <w:t>配合市、区相关部门，优化片区轨道接驳环境，提升最后一公里出行服务水平</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城市轨道交通运量大、准时、舒适，是深受广大市民喜爱的公共交通方式，大力推进轨道建设对促进地区社会经济发展、方便市民出行等具有积极意义。根据市政府工作部署</w:t>
      </w:r>
      <w:r>
        <w:rPr>
          <w:rFonts w:hint="eastAsia" w:ascii="仿宋_GB2312" w:hAnsi="宋体" w:eastAsia="仿宋_GB2312" w:cs="宋体"/>
          <w:kern w:val="0"/>
          <w:sz w:val="32"/>
          <w:szCs w:val="32"/>
          <w:lang w:eastAsia="zh-CN"/>
        </w:rPr>
        <w:t>，</w:t>
      </w:r>
      <w:r>
        <w:rPr>
          <w:rFonts w:hint="eastAsia" w:ascii="仿宋_GB2312" w:hAnsi="仿宋_GB2312" w:eastAsia="仿宋_GB2312" w:cs="仿宋_GB2312"/>
          <w:sz w:val="32"/>
          <w:szCs w:val="32"/>
          <w:lang w:val="en-US" w:eastAsia="zh-CN"/>
        </w:rPr>
        <w:t>目前由市发展改革委牵头，会同我局、市轨道办等部门编制全市轨道交通第五期建设规划。</w:t>
      </w:r>
      <w:r>
        <w:rPr>
          <w:rFonts w:hint="eastAsia" w:ascii="仿宋_GB2312" w:hAnsi="仿宋_GB2312" w:eastAsia="仿宋_GB2312" w:cs="仿宋_GB2312"/>
          <w:sz w:val="32"/>
          <w:szCs w:val="32"/>
        </w:rPr>
        <w:t>现处于初步方案研究阶段，具体的线路方案尚未稳定。</w:t>
      </w:r>
      <w:r>
        <w:rPr>
          <w:rFonts w:hint="eastAsia" w:ascii="仿宋_GB2312" w:hAnsi="仿宋_GB2312" w:eastAsia="仿宋_GB2312" w:cs="仿宋_GB2312"/>
          <w:sz w:val="32"/>
          <w:szCs w:val="32"/>
          <w:lang w:val="en-US" w:eastAsia="zh-CN"/>
        </w:rPr>
        <w:t>后续，我们将</w:t>
      </w:r>
      <w:r>
        <w:rPr>
          <w:rFonts w:hint="eastAsia" w:ascii="仿宋_GB2312" w:hAnsi="宋体" w:eastAsia="仿宋_GB2312" w:cs="宋体"/>
          <w:kern w:val="0"/>
          <w:sz w:val="32"/>
          <w:szCs w:val="32"/>
        </w:rPr>
        <w:t>积极支持和配合市发展改革委，结合我市社会经济、城市发展、交通需求、工程投资及国家政策等因素，对我市近期建设线路进行统筹研究，积极推进相关线路尽快建设。</w:t>
      </w:r>
    </w:p>
    <w:p>
      <w:pPr>
        <w:autoSpaceDE w:val="0"/>
        <w:adjustRightInd w:val="0"/>
        <w:snapToGrid w:val="0"/>
        <w:spacing w:beforeLines="0" w:afterLines="0"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同时，轨道交通作为大运量公共交通方式，难以通过单条线路直接覆盖所有建成区，包括轨道服务十分方便的香港也有不少地区需要公交接驳轨道。为进一步提升片区交通服务水平，我们也将联合市、区相关部门积极研究多种措施，综合发力，统筹道路交通、常规公交和慢行交通布局，特别是进一步完善片区步行交通设施和环境，提高片区至轨道站点的可达性，方便片区居民使用轨道交通出行。</w:t>
      </w:r>
    </w:p>
    <w:p>
      <w:pPr>
        <w:spacing w:line="580" w:lineRule="exact"/>
        <w:ind w:firstLine="645"/>
        <w:outlineLvl w:val="0"/>
        <w:rPr>
          <w:rFonts w:ascii="仿宋_GB2312" w:eastAsia="仿宋_GB2312"/>
          <w:sz w:val="32"/>
        </w:rPr>
      </w:pPr>
      <w:r>
        <w:rPr>
          <w:rFonts w:hint="eastAsia" w:ascii="仿宋_GB2312" w:eastAsia="仿宋_GB2312"/>
          <w:sz w:val="32"/>
        </w:rPr>
        <w:t>最后，感谢您对我局工作的关心和支持！</w:t>
      </w:r>
    </w:p>
    <w:p>
      <w:pPr>
        <w:spacing w:line="580" w:lineRule="exact"/>
        <w:ind w:right="1040"/>
        <w:jc w:val="right"/>
        <w:rPr>
          <w:rFonts w:hint="eastAsia" w:ascii="仿宋_GB2312" w:eastAsia="仿宋_GB2312"/>
          <w:sz w:val="32"/>
          <w:szCs w:val="32"/>
        </w:rPr>
      </w:pPr>
    </w:p>
    <w:p>
      <w:pPr>
        <w:spacing w:line="580" w:lineRule="exact"/>
        <w:ind w:right="1040"/>
        <w:jc w:val="right"/>
        <w:rPr>
          <w:rFonts w:hint="eastAsia" w:ascii="仿宋_GB2312" w:eastAsia="仿宋_GB2312"/>
          <w:sz w:val="32"/>
          <w:szCs w:val="32"/>
        </w:rPr>
      </w:pPr>
    </w:p>
    <w:p>
      <w:pPr>
        <w:wordWrap w:val="0"/>
        <w:spacing w:line="580" w:lineRule="exact"/>
        <w:ind w:right="567"/>
        <w:jc w:val="right"/>
        <w:rPr>
          <w:rFonts w:hint="eastAsia" w:ascii="仿宋_GB2312" w:eastAsia="仿宋_GB2312"/>
          <w:sz w:val="32"/>
          <w:szCs w:val="32"/>
          <w:lang w:eastAsia="zh-CN"/>
        </w:rPr>
      </w:pPr>
      <w:bookmarkStart w:id="7" w:name="BUREAU_NAME_JP"/>
      <w:r>
        <w:rPr>
          <w:rFonts w:hint="eastAsia" w:ascii="仿宋_GB2312" w:eastAsia="仿宋_GB2312"/>
          <w:sz w:val="32"/>
          <w:szCs w:val="32"/>
          <w:lang w:eastAsia="zh-CN"/>
        </w:rPr>
        <w:t>市规划和自然资源局</w:t>
      </w:r>
      <w:bookmarkEnd w:id="7"/>
    </w:p>
    <w:p>
      <w:pPr>
        <w:wordWrap w:val="0"/>
        <w:spacing w:line="580" w:lineRule="exact"/>
        <w:ind w:right="822"/>
        <w:jc w:val="right"/>
        <w:rPr>
          <w:rFonts w:hint="eastAsia" w:ascii="仿宋_GB2312" w:eastAsia="仿宋_GB2312"/>
          <w:sz w:val="32"/>
          <w:szCs w:val="32"/>
          <w:lang w:eastAsia="zh-CN"/>
        </w:rPr>
      </w:pPr>
      <w:bookmarkStart w:id="8" w:name="INSCRIBE_DATE"/>
      <w:r>
        <w:rPr>
          <w:rFonts w:hint="eastAsia" w:ascii="仿宋_GB2312" w:eastAsia="仿宋_GB2312"/>
          <w:sz w:val="32"/>
          <w:szCs w:val="32"/>
          <w:lang w:eastAsia="zh-CN"/>
        </w:rPr>
        <w:t>2021年9月3日</w:t>
      </w:r>
      <w:bookmarkEnd w:id="8"/>
    </w:p>
    <w:p>
      <w:pPr>
        <w:spacing w:line="580" w:lineRule="exact"/>
        <w:ind w:firstLine="560" w:firstLineChars="200"/>
        <w:rPr>
          <w:rFonts w:hint="eastAsia"/>
          <w:sz w:val="28"/>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9" w:name="LINKMAN"/>
      <w:r>
        <w:rPr>
          <w:rFonts w:hint="eastAsia" w:ascii="仿宋_GB2312" w:eastAsia="仿宋_GB2312"/>
          <w:sz w:val="32"/>
          <w:szCs w:val="32"/>
          <w:lang w:eastAsia="zh-CN"/>
        </w:rPr>
        <w:t>袁</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波</w:t>
      </w:r>
      <w:bookmarkEnd w:id="9"/>
      <w:r>
        <w:rPr>
          <w:rFonts w:hint="eastAsia" w:ascii="仿宋_GB2312" w:eastAsia="仿宋_GB2312"/>
          <w:sz w:val="32"/>
          <w:szCs w:val="32"/>
        </w:rPr>
        <w:t>，联系电话：</w:t>
      </w:r>
      <w:bookmarkStart w:id="10" w:name="LINKTEL"/>
      <w:r>
        <w:rPr>
          <w:rFonts w:hint="eastAsia" w:ascii="仿宋_GB2312" w:eastAsia="仿宋_GB2312"/>
          <w:sz w:val="32"/>
          <w:szCs w:val="32"/>
          <w:lang w:eastAsia="zh-CN"/>
        </w:rPr>
        <w:t>83949352</w:t>
      </w:r>
      <w:bookmarkEnd w:id="10"/>
      <w:r>
        <w:rPr>
          <w:rFonts w:hint="eastAsia" w:ascii="仿宋_GB2312" w:eastAsia="仿宋_GB2312"/>
          <w:sz w:val="32"/>
          <w:szCs w:val="32"/>
        </w:rPr>
        <w:t>）</w:t>
      </w:r>
    </w:p>
    <w:tbl>
      <w:tblPr>
        <w:tblStyle w:val="3"/>
        <w:tblpPr w:leftFromText="181" w:rightFromText="181" w:tblpYSpec="bottom"/>
        <w:tblOverlap w:val="never"/>
        <w:tblW w:w="8925" w:type="dxa"/>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1" w:name="COPY_TO"/>
            <w:bookmarkEnd w:id="11"/>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2"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9071506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907150621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2"/>
          </w:p>
        </w:tc>
      </w:tr>
    </w:tbl>
    <w:p>
      <w:pPr>
        <w:spacing w:line="20" w:lineRule="exact"/>
        <w:ind w:right="3532"/>
        <w:rPr>
          <w:rFonts w:hint="eastAsia" w:ascii="仿宋_GB2312" w:eastAsia="仿宋_GB2312"/>
          <w:sz w:val="32"/>
          <w:szCs w:val="32"/>
        </w:rPr>
      </w:pPr>
    </w:p>
    <w:p>
      <w:bookmarkStart w:id="13" w:name="_GoBack"/>
      <w:bookmarkEnd w:id="13"/>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008C9"/>
    <w:rsid w:val="03D764AE"/>
    <w:rsid w:val="056A3DB4"/>
    <w:rsid w:val="05CD2967"/>
    <w:rsid w:val="05E511FF"/>
    <w:rsid w:val="063D5F19"/>
    <w:rsid w:val="096349AB"/>
    <w:rsid w:val="0A3604F8"/>
    <w:rsid w:val="0B6047CA"/>
    <w:rsid w:val="0D7776C2"/>
    <w:rsid w:val="0F2A7A91"/>
    <w:rsid w:val="112C6616"/>
    <w:rsid w:val="122819F9"/>
    <w:rsid w:val="1228439F"/>
    <w:rsid w:val="129A4E13"/>
    <w:rsid w:val="13F61C65"/>
    <w:rsid w:val="145568FD"/>
    <w:rsid w:val="14D01179"/>
    <w:rsid w:val="15C32A81"/>
    <w:rsid w:val="16637747"/>
    <w:rsid w:val="167A4382"/>
    <w:rsid w:val="168D6F67"/>
    <w:rsid w:val="17A8409D"/>
    <w:rsid w:val="235524FE"/>
    <w:rsid w:val="239C3A60"/>
    <w:rsid w:val="23D60F71"/>
    <w:rsid w:val="24ED3A9A"/>
    <w:rsid w:val="253E60A0"/>
    <w:rsid w:val="263D5006"/>
    <w:rsid w:val="26ED50D1"/>
    <w:rsid w:val="273B00FA"/>
    <w:rsid w:val="283D31E2"/>
    <w:rsid w:val="28A4738A"/>
    <w:rsid w:val="29683BDF"/>
    <w:rsid w:val="2BF15C81"/>
    <w:rsid w:val="2BFB79B6"/>
    <w:rsid w:val="2CCF531D"/>
    <w:rsid w:val="2E8D5F01"/>
    <w:rsid w:val="2F575FCF"/>
    <w:rsid w:val="30C80935"/>
    <w:rsid w:val="315C6370"/>
    <w:rsid w:val="322E247F"/>
    <w:rsid w:val="328B1152"/>
    <w:rsid w:val="33FA4D14"/>
    <w:rsid w:val="352B5418"/>
    <w:rsid w:val="37E61721"/>
    <w:rsid w:val="381F3EE7"/>
    <w:rsid w:val="387C30C0"/>
    <w:rsid w:val="38B0542B"/>
    <w:rsid w:val="38B6471B"/>
    <w:rsid w:val="3E93242B"/>
    <w:rsid w:val="3E9D5448"/>
    <w:rsid w:val="41A21A1B"/>
    <w:rsid w:val="42877CCB"/>
    <w:rsid w:val="42AC6BA7"/>
    <w:rsid w:val="42B51B54"/>
    <w:rsid w:val="448D6D86"/>
    <w:rsid w:val="452A313B"/>
    <w:rsid w:val="45770884"/>
    <w:rsid w:val="4A300479"/>
    <w:rsid w:val="4CE274B0"/>
    <w:rsid w:val="4F0C2C18"/>
    <w:rsid w:val="4F355101"/>
    <w:rsid w:val="4FD12B84"/>
    <w:rsid w:val="5207744C"/>
    <w:rsid w:val="52BA7150"/>
    <w:rsid w:val="54744F5B"/>
    <w:rsid w:val="54B51778"/>
    <w:rsid w:val="56A03F1C"/>
    <w:rsid w:val="5A475783"/>
    <w:rsid w:val="5B2A1648"/>
    <w:rsid w:val="5B344A9C"/>
    <w:rsid w:val="5CD35C23"/>
    <w:rsid w:val="5D1E0652"/>
    <w:rsid w:val="5E18424A"/>
    <w:rsid w:val="610B0977"/>
    <w:rsid w:val="626952BE"/>
    <w:rsid w:val="62C25D0E"/>
    <w:rsid w:val="648804E1"/>
    <w:rsid w:val="64B610CB"/>
    <w:rsid w:val="6546453A"/>
    <w:rsid w:val="65EB03E9"/>
    <w:rsid w:val="67142B02"/>
    <w:rsid w:val="6A5A3461"/>
    <w:rsid w:val="6ACD1D50"/>
    <w:rsid w:val="6B1266C6"/>
    <w:rsid w:val="6DA8202B"/>
    <w:rsid w:val="6EE71BD1"/>
    <w:rsid w:val="712D7493"/>
    <w:rsid w:val="71E359B4"/>
    <w:rsid w:val="73232089"/>
    <w:rsid w:val="73783093"/>
    <w:rsid w:val="74295608"/>
    <w:rsid w:val="75A118DC"/>
    <w:rsid w:val="75CF5066"/>
    <w:rsid w:val="764E07E6"/>
    <w:rsid w:val="795E4109"/>
    <w:rsid w:val="7972005B"/>
    <w:rsid w:val="7A5547CF"/>
    <w:rsid w:val="7AE80CED"/>
    <w:rsid w:val="7B7C747A"/>
    <w:rsid w:val="7BB439A5"/>
    <w:rsid w:val="7C6D6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2021-02-22T02:24:00Z</dcterms:created>
  <dc:creator>yuanbo</dc:creator>
  <cp:lastModifiedBy>袁波</cp:lastModifiedBy>
  <dcterms:modified xsi:type="dcterms:W3CDTF">2021-09-07T07:31:25Z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