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bookmarkStart w:id="14" w:name="_GoBack"/>
      <w:bookmarkEnd w:id="14"/>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1250</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4" w:name="CONTENT"/>
      <w:bookmarkStart w:id="5" w:name="TITLE_NEW"/>
    </w:p>
    <w:bookmarkEnd w:id="4"/>
    <w:p>
      <w:pPr>
        <w:spacing w:line="60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市规划和自然资源局关于市政协七届一次会议第20210176号提案答复意见的函</w:t>
      </w:r>
      <w:bookmarkEnd w:id="5"/>
    </w:p>
    <w:p>
      <w:pPr>
        <w:spacing w:line="580" w:lineRule="exact"/>
        <w:rPr>
          <w:rFonts w:hint="eastAsia"/>
          <w:b/>
          <w:sz w:val="44"/>
          <w:szCs w:val="44"/>
        </w:rPr>
      </w:pPr>
    </w:p>
    <w:p>
      <w:pPr>
        <w:spacing w:line="580" w:lineRule="exact"/>
        <w:rPr>
          <w:rFonts w:hint="eastAsia" w:ascii="仿宋_GB2312" w:hAnsi="宋体" w:eastAsia="仿宋_GB2312"/>
          <w:sz w:val="32"/>
          <w:szCs w:val="32"/>
        </w:rPr>
      </w:pPr>
      <w:bookmarkStart w:id="6" w:name="MAINLY_TO_NEW"/>
      <w:r>
        <w:rPr>
          <w:rFonts w:hint="eastAsia" w:ascii="仿宋_GB2312" w:hAnsi="宋体" w:eastAsia="仿宋_GB2312"/>
          <w:sz w:val="32"/>
          <w:szCs w:val="32"/>
          <w:lang w:val="en-US" w:eastAsia="zh-CN"/>
        </w:rPr>
        <w:t>尊敬的</w:t>
      </w:r>
      <w:r>
        <w:rPr>
          <w:rFonts w:hint="eastAsia" w:ascii="仿宋_GB2312" w:hAnsi="宋体" w:eastAsia="仿宋_GB2312"/>
          <w:sz w:val="32"/>
          <w:szCs w:val="32"/>
          <w:lang w:eastAsia="zh-CN"/>
        </w:rPr>
        <w:t>梅春雷等委员:</w:t>
      </w:r>
      <w:bookmarkEnd w:id="6"/>
      <w:r>
        <w:rPr>
          <w:rFonts w:hint="eastAsia" w:ascii="仿宋_GB2312" w:hAnsi="宋体" w:eastAsia="仿宋_GB2312"/>
          <w:sz w:val="32"/>
          <w:szCs w:val="32"/>
        </w:rPr>
        <w:t xml:space="preserve"> </w:t>
      </w:r>
    </w:p>
    <w:p>
      <w:pPr>
        <w:spacing w:line="580" w:lineRule="exact"/>
        <w:ind w:firstLine="640" w:firstLineChars="200"/>
        <w:rPr>
          <w:rFonts w:hint="eastAsia" w:ascii="仿宋_GB2312" w:hAnsi="宋体" w:eastAsia="仿宋_GB2312"/>
          <w:sz w:val="32"/>
          <w:szCs w:val="32"/>
          <w:lang w:eastAsia="zh-CN"/>
        </w:rPr>
      </w:pPr>
      <w:bookmarkStart w:id="7" w:name="CONTENT_NEW"/>
      <w:r>
        <w:rPr>
          <w:rFonts w:hint="eastAsia" w:ascii="仿宋_GB2312" w:hAnsi="宋体" w:eastAsia="仿宋_GB2312"/>
          <w:sz w:val="32"/>
          <w:szCs w:val="32"/>
          <w:lang w:eastAsia="zh-CN"/>
        </w:rPr>
        <w:t>您</w:t>
      </w:r>
      <w:r>
        <w:rPr>
          <w:rFonts w:hint="eastAsia" w:ascii="仿宋_GB2312" w:hAnsi="宋体" w:eastAsia="仿宋_GB2312"/>
          <w:sz w:val="32"/>
          <w:szCs w:val="32"/>
          <w:lang w:val="en-US" w:eastAsia="zh-CN"/>
        </w:rPr>
        <w:t>在市政协七届一次会议期间</w:t>
      </w:r>
      <w:r>
        <w:rPr>
          <w:rFonts w:hint="eastAsia" w:ascii="仿宋_GB2312" w:hAnsi="宋体" w:eastAsia="仿宋_GB2312"/>
          <w:sz w:val="32"/>
          <w:szCs w:val="32"/>
          <w:lang w:eastAsia="zh-CN"/>
        </w:rPr>
        <w:t>提出的《关于建设深盐三通道、打通东部交通瓶颈的建议》（第20210176号）收悉。非常感谢</w:t>
      </w:r>
      <w:r>
        <w:rPr>
          <w:rFonts w:hint="eastAsia" w:ascii="仿宋_GB2312" w:hAnsi="宋体" w:eastAsia="仿宋_GB2312"/>
          <w:sz w:val="32"/>
          <w:szCs w:val="32"/>
          <w:lang w:val="en-US" w:eastAsia="zh-CN"/>
        </w:rPr>
        <w:t>您</w:t>
      </w:r>
      <w:r>
        <w:rPr>
          <w:rFonts w:hint="eastAsia" w:ascii="仿宋_GB2312" w:hAnsi="宋体" w:eastAsia="仿宋_GB2312"/>
          <w:sz w:val="32"/>
          <w:szCs w:val="32"/>
          <w:lang w:eastAsia="zh-CN"/>
        </w:rPr>
        <w:t>对城市交通发展的关心，我局一直高度重视盐田区的交通规划，支持盐田区打造盐田河临港产业带，建设成深港东部湾区门户和世界知名的山海特色之城。</w:t>
      </w:r>
      <w:r>
        <w:rPr>
          <w:rFonts w:hint="eastAsia" w:ascii="仿宋_GB2312" w:hAnsi="宋体" w:eastAsia="仿宋_GB2312"/>
          <w:sz w:val="32"/>
          <w:szCs w:val="32"/>
          <w:lang w:val="en-US" w:eastAsia="zh-CN"/>
        </w:rPr>
        <w:t>经认真研究，现</w:t>
      </w:r>
      <w:r>
        <w:rPr>
          <w:rFonts w:hint="eastAsia" w:ascii="仿宋_GB2312" w:hAnsi="宋体" w:eastAsia="仿宋_GB2312"/>
          <w:sz w:val="32"/>
          <w:szCs w:val="32"/>
          <w:lang w:eastAsia="zh-CN"/>
        </w:rPr>
        <w:t>结合我局职能及相关规划，</w:t>
      </w:r>
      <w:r>
        <w:rPr>
          <w:rFonts w:hint="eastAsia" w:ascii="仿宋_GB2312" w:hAnsi="宋体" w:eastAsia="仿宋_GB2312"/>
          <w:sz w:val="32"/>
          <w:szCs w:val="32"/>
          <w:lang w:val="en-US" w:eastAsia="zh-CN"/>
        </w:rPr>
        <w:t>就您的建议事项</w:t>
      </w:r>
      <w:r>
        <w:rPr>
          <w:rFonts w:hint="eastAsia" w:ascii="仿宋_GB2312" w:hAnsi="宋体" w:eastAsia="仿宋_GB2312"/>
          <w:sz w:val="32"/>
          <w:szCs w:val="32"/>
          <w:lang w:eastAsia="zh-CN"/>
        </w:rPr>
        <w:t>回复如下：</w:t>
      </w:r>
    </w:p>
    <w:p>
      <w:pPr>
        <w:spacing w:line="580" w:lineRule="exact"/>
        <w:ind w:firstLine="640" w:firstLineChars="200"/>
        <w:rPr>
          <w:rFonts w:hint="eastAsia" w:ascii="黑体" w:hAnsi="黑体" w:eastAsia="黑体" w:cs="黑体"/>
          <w:sz w:val="32"/>
          <w:szCs w:val="32"/>
          <w:lang w:eastAsia="zh-CN"/>
        </w:rPr>
      </w:pPr>
      <w:r>
        <w:rPr>
          <w:rFonts w:hint="eastAsia" w:ascii="黑体" w:hAnsi="黑体" w:eastAsia="黑体" w:cs="黑体"/>
          <w:b w:val="0"/>
          <w:bCs w:val="0"/>
          <w:sz w:val="32"/>
          <w:szCs w:val="32"/>
          <w:lang w:eastAsia="zh-CN"/>
        </w:rPr>
        <w:t>一、为解决罗沙路拥堵和路网功能不匹配问题，我局新一轮干线道路网规划中已提出复合建设罗沙路快速通道，并支持罗沙路地面道路对接盐田后方陆域。</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深圳东部地区往核心城区主要利用东部通道及深盐二通道-盐坝高速，既有规划路网中深盐二通道与核心城区快速路系统仅通过罗沙路对接，而罗沙路定位为城市干线性主干路，同时也对接了盐田的深盐路。随着龙坪盐通道、盐坝高速市政化改造、深汕跨海高速的推进，宜进一步强化深圳市核心区东向通道能力。</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目前，我局正在开展《深圳市干线道路网规划（2020-2035年）》规划研究工作（下称《干线路网规划》），规划提出复合化建设罗沙路快速通道，向西衔接罗芳立交，向东对接深盐二通道，形成深圳南部贯通的快速路通道。罗沙路地面道路以干线性主干路型式向东对接深盐路，并研究规划期内对接盐田后方陆域的通道条件。目前，该规划已通过策略委审查，近期拟呈报市政府审议。</w:t>
      </w:r>
    </w:p>
    <w:p>
      <w:pPr>
        <w:spacing w:line="58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二、罗沙路地面道路对接盐田后方陆域涉及穿越梧桐山风景名胜区，协调难度大，建议进一步研究其通道条件。</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提案提出的深盐第三通道涉及穿越梧桐山风景名胜区，根据《风景名胜区条例》，“经批准的风景名胜区规划不得擅自修改。确需对风景名胜区总体规划中的重大建设项目布局进行修改的，应当报原审批机关批准。”该通道不属于重大建设项目，不具备修改风景区总规的条件。目前《梧桐山风景名胜区总体规划（2019-2035年）》已通过市、省人民政府审查，并报国务院待审批。我局也将持续关注国家自然保护地体系规划以及相关政策法规的进展情况，为罗沙路地面道路对接盐田后方陆域争取实施条件。</w:t>
      </w:r>
    </w:p>
    <w:p>
      <w:pPr>
        <w:spacing w:line="58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三、我局将支持和加快推进南坪快速路等平行通道的规划建设工作，全面提高路网均衡性，提升盐田等地区西向交通联系效率。</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我局开展的《干线路网规划》，盐田区将通过现状深盐二通道以及通过路网交通转换利用近期建成的东部过境通道、规划南坪快速联系核心城区。我局将预控规划通道条件、加快推进沿线土地整备，支持提升盐田区西向交通联系效率。</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 xml:space="preserve"> </w:t>
      </w:r>
      <w:r>
        <w:rPr>
          <w:rFonts w:hint="eastAsia" w:ascii="仿宋_GB2312" w:hAnsi="宋体" w:eastAsia="仿宋_GB2312"/>
          <w:sz w:val="32"/>
          <w:szCs w:val="32"/>
        </w:rPr>
        <w:t>最后，感谢您对深圳市交通规划建设的关心、理解和支持。</w:t>
      </w:r>
    </w:p>
    <w:bookmarkEnd w:id="7"/>
    <w:p>
      <w:pPr>
        <w:spacing w:line="560" w:lineRule="exact"/>
        <w:ind w:right="1040"/>
        <w:jc w:val="right"/>
        <w:rPr>
          <w:rFonts w:hint="eastAsia" w:ascii="仿宋_GB2312" w:eastAsia="仿宋_GB2312"/>
          <w:sz w:val="32"/>
          <w:szCs w:val="32"/>
        </w:rPr>
      </w:pPr>
    </w:p>
    <w:p>
      <w:pPr>
        <w:spacing w:line="560" w:lineRule="exact"/>
        <w:ind w:right="1040"/>
        <w:jc w:val="right"/>
        <w:rPr>
          <w:rFonts w:hint="eastAsia" w:ascii="仿宋_GB2312" w:eastAsia="仿宋_GB2312"/>
          <w:sz w:val="32"/>
          <w:szCs w:val="32"/>
        </w:rPr>
      </w:pPr>
    </w:p>
    <w:p>
      <w:pPr>
        <w:wordWrap w:val="0"/>
        <w:spacing w:line="560" w:lineRule="exact"/>
        <w:ind w:right="567"/>
        <w:jc w:val="right"/>
        <w:rPr>
          <w:rFonts w:hint="eastAsia" w:ascii="仿宋_GB2312" w:eastAsia="仿宋_GB2312"/>
          <w:sz w:val="32"/>
          <w:szCs w:val="32"/>
          <w:lang w:eastAsia="zh-CN"/>
        </w:rPr>
      </w:pPr>
      <w:bookmarkStart w:id="8" w:name="BUREAU_NAME_JP"/>
      <w:r>
        <w:rPr>
          <w:rFonts w:hint="eastAsia" w:ascii="仿宋_GB2312" w:eastAsia="仿宋_GB2312"/>
          <w:sz w:val="32"/>
          <w:szCs w:val="32"/>
          <w:lang w:eastAsia="zh-CN"/>
        </w:rPr>
        <w:t>市规划和自然资源局</w:t>
      </w:r>
      <w:bookmarkEnd w:id="8"/>
    </w:p>
    <w:p>
      <w:pPr>
        <w:wordWrap w:val="0"/>
        <w:spacing w:line="560" w:lineRule="exact"/>
        <w:ind w:right="822"/>
        <w:jc w:val="right"/>
        <w:rPr>
          <w:rFonts w:hint="eastAsia" w:ascii="仿宋_GB2312" w:eastAsia="仿宋_GB2312"/>
          <w:sz w:val="32"/>
          <w:szCs w:val="32"/>
          <w:lang w:eastAsia="zh-CN"/>
        </w:rPr>
      </w:pPr>
      <w:bookmarkStart w:id="9" w:name="INSCRIBE_DATE"/>
      <w:r>
        <w:rPr>
          <w:rFonts w:hint="eastAsia" w:ascii="仿宋_GB2312" w:eastAsia="仿宋_GB2312"/>
          <w:sz w:val="32"/>
          <w:szCs w:val="32"/>
          <w:lang w:eastAsia="zh-CN"/>
        </w:rPr>
        <w:t>2021年6月1日</w:t>
      </w:r>
      <w:bookmarkEnd w:id="9"/>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10" w:name="LINKMAN"/>
      <w:r>
        <w:rPr>
          <w:rFonts w:hint="eastAsia" w:ascii="仿宋_GB2312" w:eastAsia="仿宋_GB2312"/>
          <w:sz w:val="32"/>
          <w:szCs w:val="32"/>
          <w:lang w:eastAsia="zh-CN"/>
        </w:rPr>
        <w:t>龚铭煊</w:t>
      </w:r>
      <w:bookmarkEnd w:id="10"/>
      <w:r>
        <w:rPr>
          <w:rFonts w:hint="eastAsia" w:ascii="仿宋_GB2312" w:eastAsia="仿宋_GB2312"/>
          <w:sz w:val="32"/>
          <w:szCs w:val="32"/>
        </w:rPr>
        <w:t>，联系电话：</w:t>
      </w:r>
      <w:bookmarkStart w:id="11" w:name="LINKTEL"/>
      <w:r>
        <w:rPr>
          <w:rFonts w:hint="eastAsia" w:ascii="仿宋_GB2312" w:eastAsia="仿宋_GB2312"/>
          <w:sz w:val="32"/>
          <w:szCs w:val="32"/>
          <w:lang w:eastAsia="zh-CN"/>
        </w:rPr>
        <w:t>83949234</w:t>
      </w:r>
      <w:bookmarkEnd w:id="11"/>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仿宋_GB2312" w:eastAsia="仿宋_GB2312"/>
          <w:sz w:val="32"/>
          <w:szCs w:val="32"/>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2" w:name="COPY_TO"/>
            <w:bookmarkEnd w:id="12"/>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3" w:name="TWO_DIMENSIONAL_CODE"/>
            <w:r>
              <w:rPr>
                <w:rFonts w:hint="eastAsia" w:ascii="仿宋_GB2312" w:eastAsia="仿宋_GB2312"/>
                <w:spacing w:val="-100"/>
                <w:sz w:val="32"/>
                <w:szCs w:val="32"/>
                <w:lang w:eastAsia="zh-CN"/>
              </w:rPr>
              <w:drawing>
                <wp:inline distT="0" distB="0" distL="114300" distR="114300">
                  <wp:extent cx="1666875" cy="466725"/>
                  <wp:effectExtent l="0" t="0" r="9525" b="9525"/>
                  <wp:docPr id="1" name="图片 1" descr="~ggimg202106021633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60216330000"/>
                          <pic:cNvPicPr>
                            <a:picLocks noChangeAspect="1"/>
                          </pic:cNvPicPr>
                        </pic:nvPicPr>
                        <pic:blipFill>
                          <a:blip r:embed="rId6"/>
                          <a:stretch>
                            <a:fillRect/>
                          </a:stretch>
                        </pic:blipFill>
                        <pic:spPr>
                          <a:xfrm>
                            <a:off x="0" y="0"/>
                            <a:ext cx="1666875" cy="4667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3"/>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540BD"/>
    <w:rsid w:val="089F257B"/>
    <w:rsid w:val="0E706620"/>
    <w:rsid w:val="11F15FBB"/>
    <w:rsid w:val="19E36B43"/>
    <w:rsid w:val="1B31356B"/>
    <w:rsid w:val="1D795B85"/>
    <w:rsid w:val="228400C1"/>
    <w:rsid w:val="22E46C83"/>
    <w:rsid w:val="2368250A"/>
    <w:rsid w:val="28282D11"/>
    <w:rsid w:val="298D633C"/>
    <w:rsid w:val="2A5D7B61"/>
    <w:rsid w:val="2BB40EC3"/>
    <w:rsid w:val="2ECA659A"/>
    <w:rsid w:val="324A45D1"/>
    <w:rsid w:val="3A5950F5"/>
    <w:rsid w:val="426F33B9"/>
    <w:rsid w:val="56875B28"/>
    <w:rsid w:val="59015122"/>
    <w:rsid w:val="5B7A19DC"/>
    <w:rsid w:val="62102BDE"/>
    <w:rsid w:val="6A67013C"/>
    <w:rsid w:val="71191FD6"/>
    <w:rsid w:val="72697D8C"/>
    <w:rsid w:val="7389169A"/>
    <w:rsid w:val="793F4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2021-01-04T01:10:00Z</dcterms:created>
  <dc:creator>gongmx</dc:creator>
  <cp:lastModifiedBy>person</cp:lastModifiedBy>
  <dcterms:modified xsi:type="dcterms:W3CDTF">2021-11-26T02:27:34Z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