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70" w:line="540" w:lineRule="exact"/>
        <w:ind w:right="284"/>
        <w:jc w:val="lef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r>
        <w:rPr>
          <w:rFonts w:hint="eastAsia" w:ascii="仿宋_GB2312" w:eastAsia="仿宋_GB2312"/>
          <w:sz w:val="32"/>
        </w:rPr>
        <w:tab/>
      </w:r>
      <w:bookmarkStart w:id="0" w:name="neibumg"/>
      <w:bookmarkEnd w:id="0"/>
    </w:p>
    <w:p>
      <w:pPr>
        <w:spacing w:line="540" w:lineRule="exact"/>
        <w:ind w:right="312"/>
        <w:jc w:val="left"/>
        <w:rPr>
          <w:rFonts w:hint="eastAsia" w:ascii="仿宋_GB2312" w:eastAsia="仿宋_GB2312"/>
          <w:sz w:val="32"/>
        </w:rPr>
      </w:pPr>
    </w:p>
    <w:p>
      <w:pPr>
        <w:spacing w:line="560" w:lineRule="exact"/>
        <w:ind w:right="210" w:rightChars="100"/>
        <w:jc w:val="right"/>
        <w:rPr>
          <w:rFonts w:hint="eastAsia" w:ascii="仿宋_GB2312" w:eastAsia="仿宋_GB2312"/>
          <w:sz w:val="32"/>
        </w:rPr>
      </w:pPr>
      <w:bookmarkStart w:id="1" w:name="DOC_FLAG"/>
      <w:r>
        <w:rPr>
          <w:rFonts w:hint="eastAsia" w:ascii="仿宋_GB2312" w:eastAsia="仿宋_GB2312"/>
          <w:sz w:val="32"/>
          <w:lang w:eastAsia="zh-CN"/>
        </w:rPr>
        <w:t>深规划资源函</w:t>
      </w:r>
      <w:bookmarkEnd w:id="1"/>
      <w:r>
        <w:rPr>
          <w:rFonts w:hint="eastAsia" w:ascii="仿宋_GB2312" w:eastAsia="仿宋_GB2312"/>
          <w:sz w:val="32"/>
        </w:rPr>
        <w:t>〔</w:t>
      </w:r>
      <w:bookmarkStart w:id="2" w:name="DOC_YEAR1"/>
      <w:r>
        <w:rPr>
          <w:rFonts w:hint="eastAsia" w:ascii="仿宋_GB2312" w:eastAsia="仿宋_GB2312"/>
          <w:sz w:val="32"/>
          <w:lang w:eastAsia="zh-CN"/>
        </w:rPr>
        <w:t>2021</w:t>
      </w:r>
      <w:bookmarkEnd w:id="2"/>
      <w:r>
        <w:rPr>
          <w:rFonts w:hint="eastAsia" w:ascii="仿宋_GB2312" w:eastAsia="仿宋_GB2312"/>
          <w:sz w:val="32"/>
        </w:rPr>
        <w:t>〕</w:t>
      </w:r>
      <w:bookmarkStart w:id="3" w:name="DOC_SEQ1"/>
      <w:r>
        <w:rPr>
          <w:rFonts w:hint="eastAsia" w:ascii="仿宋_GB2312" w:eastAsia="仿宋_GB2312"/>
          <w:sz w:val="32"/>
          <w:lang w:eastAsia="zh-CN"/>
        </w:rPr>
        <w:t>1666</w:t>
      </w:r>
      <w:bookmarkEnd w:id="3"/>
      <w:r>
        <w:rPr>
          <w:rFonts w:hint="eastAsia" w:ascii="仿宋_GB2312" w:eastAsia="仿宋_GB2312"/>
          <w:sz w:val="32"/>
        </w:rPr>
        <w:t>号</w:t>
      </w:r>
    </w:p>
    <w:p>
      <w:pPr>
        <w:spacing w:line="560" w:lineRule="exact"/>
        <w:ind w:right="312"/>
        <w:jc w:val="left"/>
        <w:rPr>
          <w:rFonts w:hint="eastAsia" w:ascii="仿宋_GB2312" w:eastAsia="仿宋_GB2312"/>
          <w:sz w:val="32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bookmarkStart w:id="4" w:name="CONTENT"/>
      <w:bookmarkStart w:id="5" w:name="TITLE_NEW"/>
    </w:p>
    <w:bookmarkEnd w:id="4"/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市规划和自然资源局关于市政协七届一次会议第20210155号提案答复意见的函</w:t>
      </w:r>
      <w:bookmarkEnd w:id="5"/>
    </w:p>
    <w:p>
      <w:pPr>
        <w:spacing w:line="580" w:lineRule="exact"/>
        <w:rPr>
          <w:rFonts w:hint="eastAsia"/>
          <w:b/>
          <w:sz w:val="44"/>
          <w:szCs w:val="44"/>
        </w:rPr>
      </w:pPr>
    </w:p>
    <w:p>
      <w:pPr>
        <w:spacing w:line="580" w:lineRule="exact"/>
        <w:rPr>
          <w:rFonts w:hint="eastAsia" w:ascii="仿宋_GB2312" w:hAnsi="仿宋_GB2312" w:eastAsia="仿宋_GB2312" w:cs="仿宋_GB2312"/>
          <w:sz w:val="32"/>
          <w:szCs w:val="32"/>
        </w:rPr>
      </w:pPr>
      <w:bookmarkStart w:id="6" w:name="MAINLY_TO_NEW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庄义婷委员:</w:t>
      </w:r>
      <w:bookmarkEnd w:id="6"/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30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bookmarkStart w:id="7" w:name="CONTENT_NEW"/>
      <w:r>
        <w:rPr>
          <w:rFonts w:hint="eastAsia" w:ascii="仿宋_GB2312" w:hAnsi="仿宋_GB2312" w:eastAsia="仿宋_GB2312" w:cs="仿宋_GB2312"/>
          <w:sz w:val="32"/>
          <w:szCs w:val="32"/>
        </w:rPr>
        <w:t>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在市政协七届一次会议期间</w:t>
      </w:r>
      <w:r>
        <w:rPr>
          <w:rFonts w:hint="eastAsia" w:ascii="仿宋_GB2312" w:hAnsi="仿宋_GB2312" w:eastAsia="仿宋_GB2312" w:cs="仿宋_GB2312"/>
          <w:sz w:val="32"/>
          <w:szCs w:val="32"/>
        </w:rPr>
        <w:t>提出的《关于修订完善&lt;大型建筑公交场站配建指引&gt;的建议》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提案第20210155号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收悉。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此件由我局主办，市交通运输局汇办。我局高度重视，</w:t>
      </w:r>
      <w:r>
        <w:rPr>
          <w:rFonts w:hint="eastAsia" w:ascii="仿宋_GB2312" w:hAnsi="仿宋_GB2312" w:eastAsia="仿宋_GB2312" w:cs="仿宋_GB2312"/>
          <w:sz w:val="32"/>
          <w:szCs w:val="32"/>
        </w:rPr>
        <w:t>经认真研究，现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就您的建议事项答复</w:t>
      </w:r>
      <w:r>
        <w:rPr>
          <w:rFonts w:hint="eastAsia" w:ascii="仿宋_GB2312" w:hAnsi="仿宋_GB2312" w:eastAsia="仿宋_GB2312" w:cs="仿宋_GB2312"/>
          <w:sz w:val="32"/>
          <w:szCs w:val="32"/>
        </w:rPr>
        <w:t>如下：</w:t>
      </w:r>
    </w:p>
    <w:p>
      <w:pPr>
        <w:spacing w:line="300" w:lineRule="auto"/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一、总体意见</w:t>
      </w:r>
    </w:p>
    <w:p>
      <w:pPr>
        <w:spacing w:line="30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关于研究和完善现行《大型建筑公交场站配建指引》（以下简称《指引》），以及试点建设立体公交场站、统筹解决建成区城市更新密集片区公交场站配建问题的建议，思路新颖、见解深刻，对指导我市公交场站规划建设及政策优化具有重要作用，我局将结合实际工作系统研究、借鉴吸收。</w:t>
      </w:r>
    </w:p>
    <w:p>
      <w:pPr>
        <w:spacing w:line="30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交场站设施是常规公交发展的重要载体，是实施公交优先战略、优化公交线网布局、提升公交服务水平的基本保障。然而，由于土地资源紧缺、土地历史遗留问题多、居民反对等，长期以来我市公交场站用地落实难、规划实施难问题突出，因场站供应不足、空间分布不均引发的公交车辆停放难、充电难、公交线网优化调整难现象普遍，严重制约着我市公共交通系统的健康发展。</w:t>
      </w:r>
    </w:p>
    <w:p>
      <w:pPr>
        <w:spacing w:line="30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从根本上解决公交场站面临的上述问题，2012年至今我局会同市交通运输局已开展大量工作，如研究明确转变公交场站发展模式，构建“立体综合车场+配建公交首末站”的两级场站体系；规划布局26处立体综合车场，并有序推进车场实施；出台并适时修订《指引》和《深圳市建筑配建公交首末站设计导则》，指导配建公交首末站的规划设计等。实践表明，上述工作已取得显著成效，大大加强了公交场站设施的规划建设，有效缓解了全市公交场站的缺口压力。但是，随着城市发展、场站供需关系变化等，公交场站设施不断涌现出一些新问题，如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提到的城市更新密集片区配建首末站缺乏统筹等，我局将会同市交通运输局持续跟踪既有规划及政策措施的实施情况，并结合城市发展需要不断优化调整，力争促进全市公交场站设施合理设置、高效利用，真正服务市民日常出行。</w:t>
      </w:r>
    </w:p>
    <w:p>
      <w:pPr>
        <w:spacing w:line="300" w:lineRule="auto"/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二、关于《指引》细分轨道枢纽片区配建阈值、降低公交首末站配建要求的建议</w:t>
      </w:r>
    </w:p>
    <w:p>
      <w:pPr>
        <w:spacing w:line="30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作为公共交通系统的重要组成部分，常规公交与轨道交通存在相互竞争、补充喂给的关系。较轨道未覆盖地区，轨道站点周边一定范围内常规公交的出行需求相对较小，对公交场站设施的需求相应降低。</w:t>
      </w:r>
    </w:p>
    <w:p>
      <w:pPr>
        <w:spacing w:line="30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体现轨道覆盖条件不同区域公交客流的差异性，《指引》建筑规模阈值的设定已充分考虑了轨道覆盖与否的影响，划分了轨道区和非轨道区，且轨道区的建筑规模阈值普遍高于非轨道区，即轨道区的公交首末站配建要求已普遍低于非轨道区。</w:t>
      </w:r>
    </w:p>
    <w:p>
      <w:pPr>
        <w:spacing w:line="300" w:lineRule="auto"/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三、关于用地紧张地区公交首末站立体建设、解决配建首末站小而散问题的建议</w:t>
      </w:r>
    </w:p>
    <w:p>
      <w:pPr>
        <w:spacing w:line="30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我局高度认同贵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用地紧张区域公交首末站宜立体建设，以集约高效利用土地资源的观点。目前全市规划构建的“立体综合车场+配建公交首末站”两级场站体系、《指引》要求建设项目配建的公交首末站，旨在通过建筑配建增强公交首末站的用地落实性，同时加强客流集散点与公交首末站的紧密联系，引导市民公交出行；但是，未限定配建首末站仅可建设一层。用地条件允许、建筑布局兼容、道路交通可承载前提下，配建公交首末站的建设形式、具体层数可结合实际情况灵活选择，以保障公交线路安全运营和良好服务品质为目标。</w:t>
      </w:r>
    </w:p>
    <w:p>
      <w:pPr>
        <w:spacing w:line="300" w:lineRule="auto"/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四、关于试点建设立体公交场站、解决更新密集片区配建首末站统筹难问题的建议</w:t>
      </w:r>
    </w:p>
    <w:p>
      <w:pPr>
        <w:spacing w:line="30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解决新建/更新项目集中片区多个配建公交首末站规划协调问题，《指引》2020年修订版新增片区统筹规则，针对公交首末站供应不足、供应充足片区，提出区域差异化的公交首末站配建要求。供应不足片区按建筑总量、用地规模“双控”标准配建，重在弥补片区公交场站缺口压力；供应充足片区建筑增量、用地规模及周边场站覆盖情况“三控”标准配建，重在优化公交场站空间布局。</w:t>
      </w:r>
    </w:p>
    <w:p>
      <w:pPr>
        <w:spacing w:line="30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罗湖清水河为例，依据《指引》附录A，清水河地区为公交首末站供应充足地区，则应按“三控”标准进行配建。清水河地区空间尺度相对较小，现状已建及已规划配建首末站500米服务半径基本可覆盖全部城市建设用地，因此，按照《指引》2020年修订版“三控”标准要求，后续城市更新项目无须再配建公交首末站。</w:t>
      </w:r>
    </w:p>
    <w:p>
      <w:pPr>
        <w:spacing w:line="30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</w:t>
      </w:r>
      <w:r>
        <w:rPr>
          <w:rFonts w:hint="eastAsia" w:ascii="仿宋_GB2312" w:hAnsi="仿宋_GB2312" w:eastAsia="仿宋_GB2312" w:cs="仿宋_GB2312"/>
          <w:sz w:val="32"/>
          <w:szCs w:val="32"/>
        </w:rPr>
        <w:t>提出的试点建设立体公交场站、解决配建公交首末站小而散问题的建议，较适用于城市开发建设相对成熟、稳定片区，近年来市交通局亦在试点推进立体钢结构公交停车库建设，如南山中心区、科技园总站和福田福荣路下沙总站立体化改造。片区内有新建/城市更新项目的，优先推荐通过建设项目配建落实公交首末站，片区整体的土地利用效率整体更集约高效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感谢您对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我市交通事业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的支持。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此函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。 </w:t>
      </w:r>
    </w:p>
    <w:bookmarkEnd w:id="7"/>
    <w:p>
      <w:pPr>
        <w:spacing w:line="560" w:lineRule="exact"/>
        <w:ind w:right="1040"/>
        <w:jc w:val="righ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right="1040"/>
        <w:jc w:val="right"/>
        <w:rPr>
          <w:rFonts w:hint="eastAsia" w:ascii="仿宋_GB2312" w:eastAsia="仿宋_GB2312"/>
          <w:sz w:val="32"/>
          <w:szCs w:val="32"/>
        </w:rPr>
      </w:pPr>
    </w:p>
    <w:p>
      <w:pPr>
        <w:wordWrap w:val="0"/>
        <w:spacing w:line="560" w:lineRule="exact"/>
        <w:ind w:right="567"/>
        <w:jc w:val="right"/>
        <w:rPr>
          <w:rFonts w:hint="eastAsia" w:ascii="仿宋_GB2312" w:eastAsia="仿宋_GB2312"/>
          <w:sz w:val="32"/>
          <w:szCs w:val="32"/>
          <w:lang w:eastAsia="zh-CN"/>
        </w:rPr>
      </w:pPr>
      <w:bookmarkStart w:id="8" w:name="BUREAU_NAME_JP"/>
      <w:r>
        <w:rPr>
          <w:rFonts w:hint="eastAsia" w:ascii="仿宋_GB2312" w:eastAsia="仿宋_GB2312"/>
          <w:sz w:val="32"/>
          <w:szCs w:val="32"/>
          <w:lang w:eastAsia="zh-CN"/>
        </w:rPr>
        <w:t>市规划和自然资源局</w:t>
      </w:r>
      <w:bookmarkEnd w:id="8"/>
    </w:p>
    <w:p>
      <w:pPr>
        <w:wordWrap w:val="0"/>
        <w:spacing w:line="560" w:lineRule="exact"/>
        <w:ind w:right="822"/>
        <w:jc w:val="right"/>
        <w:rPr>
          <w:rFonts w:hint="eastAsia" w:ascii="仿宋_GB2312" w:eastAsia="仿宋_GB2312"/>
          <w:sz w:val="32"/>
          <w:szCs w:val="32"/>
          <w:lang w:eastAsia="zh-CN"/>
        </w:rPr>
      </w:pPr>
      <w:bookmarkStart w:id="9" w:name="INSCRIBE_DATE"/>
      <w:r>
        <w:rPr>
          <w:rFonts w:hint="eastAsia" w:ascii="仿宋_GB2312" w:eastAsia="仿宋_GB2312"/>
          <w:sz w:val="32"/>
          <w:szCs w:val="32"/>
          <w:lang w:eastAsia="zh-CN"/>
        </w:rPr>
        <w:t>2021年7月2日</w:t>
      </w:r>
      <w:bookmarkEnd w:id="9"/>
    </w:p>
    <w:p>
      <w:pPr>
        <w:spacing w:line="560" w:lineRule="exact"/>
        <w:ind w:firstLine="560" w:firstLineChars="200"/>
        <w:rPr>
          <w:rFonts w:hint="eastAsia"/>
          <w:sz w:val="28"/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（联系人：</w:t>
      </w:r>
      <w:bookmarkStart w:id="10" w:name="LINKMAN"/>
      <w:r>
        <w:rPr>
          <w:rFonts w:hint="eastAsia" w:ascii="仿宋_GB2312" w:eastAsia="仿宋_GB2312"/>
          <w:sz w:val="32"/>
          <w:szCs w:val="32"/>
          <w:lang w:eastAsia="zh-CN"/>
        </w:rPr>
        <w:t>沈晓盈</w:t>
      </w:r>
      <w:bookmarkEnd w:id="10"/>
      <w:r>
        <w:rPr>
          <w:rFonts w:hint="eastAsia" w:ascii="仿宋_GB2312" w:eastAsia="仿宋_GB2312"/>
          <w:sz w:val="32"/>
          <w:szCs w:val="32"/>
        </w:rPr>
        <w:t>，联系电话：</w:t>
      </w:r>
      <w:bookmarkStart w:id="11" w:name="LINKTEL"/>
      <w:r>
        <w:rPr>
          <w:rFonts w:hint="eastAsia" w:ascii="仿宋_GB2312" w:eastAsia="仿宋_GB2312"/>
          <w:sz w:val="32"/>
          <w:szCs w:val="32"/>
          <w:lang w:eastAsia="zh-CN"/>
        </w:rPr>
        <w:t>83949062</w:t>
      </w:r>
      <w:bookmarkEnd w:id="11"/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tbl>
      <w:tblPr>
        <w:tblStyle w:val="3"/>
        <w:tblpPr w:leftFromText="181" w:rightFromText="181" w:tblpYSpec="bottom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925" w:type="dxa"/>
            <w:noWrap w:val="0"/>
            <w:vAlign w:val="top"/>
          </w:tcPr>
          <w:p>
            <w:pPr>
              <w:spacing w:line="480" w:lineRule="exact"/>
              <w:ind w:firstLine="320" w:firstLineChars="100"/>
              <w:jc w:val="left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bookmarkStart w:id="12" w:name="COPY_TO"/>
            <w:bookmarkEnd w:id="12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8925" w:type="dxa"/>
            <w:noWrap w:val="0"/>
            <w:vAlign w:val="top"/>
          </w:tcPr>
          <w:p>
            <w:pPr>
              <w:spacing w:before="170"/>
              <w:ind w:right="284"/>
              <w:jc w:val="right"/>
              <w:rPr>
                <w:rFonts w:hint="eastAsia" w:ascii="仿宋_GB2312" w:eastAsia="仿宋_GB2312"/>
                <w:spacing w:val="-100"/>
                <w:sz w:val="32"/>
                <w:szCs w:val="32"/>
                <w:lang w:eastAsia="zh-CN"/>
              </w:rPr>
            </w:pPr>
            <w:bookmarkStart w:id="13" w:name="TWO_DIMENSIONAL_CODE"/>
            <w:r>
              <w:rPr>
                <w:rFonts w:hint="eastAsia" w:ascii="仿宋_GB2312" w:eastAsia="仿宋_GB2312"/>
                <w:spacing w:val="-100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1666875" cy="428625"/>
                  <wp:effectExtent l="0" t="0" r="9525" b="9525"/>
                  <wp:docPr id="1" name="图片 1" descr="~ggimg2021070216214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~ggimg202107021621420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_GB2312" w:eastAsia="仿宋_GB2312"/>
                <w:spacing w:val="-100"/>
                <w:sz w:val="32"/>
                <w:szCs w:val="32"/>
                <w:lang w:eastAsia="zh-CN"/>
              </w:rPr>
              <w:t xml:space="preserve">  </w:t>
            </w:r>
            <w:bookmarkEnd w:id="13"/>
          </w:p>
        </w:tc>
      </w:tr>
    </w:tbl>
    <w:p>
      <w:pPr>
        <w:spacing w:line="20" w:lineRule="exact"/>
        <w:ind w:right="3532"/>
        <w:rPr>
          <w:rFonts w:hint="eastAsia" w:ascii="仿宋_GB2312" w:eastAsia="仿宋_GB2312"/>
          <w:sz w:val="32"/>
          <w:szCs w:val="32"/>
        </w:rPr>
      </w:pPr>
    </w:p>
    <w:p>
      <w:bookmarkStart w:id="14" w:name="_GoBack"/>
      <w:bookmarkEnd w:id="14"/>
    </w:p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jc w:val="right"/>
      <w:rPr>
        <w:rFonts w:hint="eastAsia" w:ascii="仿宋_GB2312" w:hAnsi="宋体" w:eastAsia="仿宋_GB2312"/>
        <w:sz w:val="28"/>
      </w:rPr>
    </w:pPr>
    <w:r>
      <w:rPr>
        <w:rFonts w:hint="eastAsia" w:ascii="仿宋_GB2312" w:hAnsi="宋体" w:eastAsia="仿宋_GB2312"/>
        <w:kern w:val="0"/>
        <w:sz w:val="28"/>
        <w:szCs w:val="21"/>
      </w:rPr>
      <w:t xml:space="preserve">- </w:t>
    </w:r>
    <w:r>
      <w:rPr>
        <w:rFonts w:hint="eastAsia" w:ascii="仿宋_GB2312" w:hAnsi="宋体" w:eastAsia="仿宋_GB2312"/>
        <w:kern w:val="0"/>
        <w:sz w:val="28"/>
        <w:szCs w:val="21"/>
      </w:rPr>
      <w:fldChar w:fldCharType="begin"/>
    </w:r>
    <w:r>
      <w:rPr>
        <w:rFonts w:hint="eastAsia" w:ascii="仿宋_GB2312" w:hAnsi="宋体" w:eastAsia="仿宋_GB2312"/>
        <w:kern w:val="0"/>
        <w:sz w:val="28"/>
        <w:szCs w:val="21"/>
      </w:rPr>
      <w:instrText xml:space="preserve"> PAGE </w:instrText>
    </w:r>
    <w:r>
      <w:rPr>
        <w:rFonts w:hint="eastAsia" w:ascii="仿宋_GB2312" w:hAnsi="宋体" w:eastAsia="仿宋_GB2312"/>
        <w:kern w:val="0"/>
        <w:sz w:val="28"/>
        <w:szCs w:val="21"/>
      </w:rPr>
      <w:fldChar w:fldCharType="separate"/>
    </w:r>
    <w:r>
      <w:rPr>
        <w:rFonts w:ascii="仿宋_GB2312" w:hAnsi="宋体" w:eastAsia="仿宋_GB2312"/>
        <w:kern w:val="0"/>
        <w:sz w:val="28"/>
        <w:szCs w:val="21"/>
      </w:rPr>
      <w:t>3</w:t>
    </w:r>
    <w:r>
      <w:rPr>
        <w:rFonts w:hint="eastAsia" w:ascii="仿宋_GB2312" w:hAnsi="宋体" w:eastAsia="仿宋_GB2312"/>
        <w:kern w:val="0"/>
        <w:sz w:val="28"/>
        <w:szCs w:val="21"/>
      </w:rPr>
      <w:fldChar w:fldCharType="end"/>
    </w:r>
    <w:r>
      <w:rPr>
        <w:rFonts w:hint="eastAsia" w:ascii="仿宋_GB2312" w:hAnsi="宋体" w:eastAsia="仿宋_GB2312"/>
        <w:kern w:val="0"/>
        <w:sz w:val="28"/>
        <w:szCs w:val="21"/>
      </w:rPr>
      <w:t xml:space="preserve"> -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 w:firstLineChars="100"/>
      <w:rPr>
        <w:rFonts w:hint="eastAsia" w:ascii="仿宋_GB2312" w:hAnsi="宋体" w:eastAsia="仿宋_GB2312"/>
        <w:sz w:val="28"/>
      </w:rPr>
    </w:pPr>
    <w:r>
      <w:rPr>
        <w:rFonts w:hint="eastAsia" w:ascii="仿宋_GB2312" w:hAnsi="宋体" w:eastAsia="仿宋_GB2312"/>
        <w:kern w:val="0"/>
        <w:sz w:val="28"/>
        <w:szCs w:val="21"/>
      </w:rPr>
      <w:t xml:space="preserve">- </w:t>
    </w:r>
    <w:r>
      <w:rPr>
        <w:rFonts w:hint="eastAsia" w:ascii="仿宋_GB2312" w:hAnsi="宋体" w:eastAsia="仿宋_GB2312"/>
        <w:kern w:val="0"/>
        <w:sz w:val="28"/>
        <w:szCs w:val="21"/>
      </w:rPr>
      <w:fldChar w:fldCharType="begin"/>
    </w:r>
    <w:r>
      <w:rPr>
        <w:rFonts w:hint="eastAsia" w:ascii="仿宋_GB2312" w:hAnsi="宋体" w:eastAsia="仿宋_GB2312"/>
        <w:kern w:val="0"/>
        <w:sz w:val="28"/>
        <w:szCs w:val="21"/>
      </w:rPr>
      <w:instrText xml:space="preserve"> PAGE </w:instrText>
    </w:r>
    <w:r>
      <w:rPr>
        <w:rFonts w:hint="eastAsia" w:ascii="仿宋_GB2312" w:hAnsi="宋体" w:eastAsia="仿宋_GB2312"/>
        <w:kern w:val="0"/>
        <w:sz w:val="28"/>
        <w:szCs w:val="21"/>
      </w:rPr>
      <w:fldChar w:fldCharType="separate"/>
    </w:r>
    <w:r>
      <w:rPr>
        <w:rFonts w:ascii="仿宋_GB2312" w:hAnsi="宋体" w:eastAsia="仿宋_GB2312"/>
        <w:kern w:val="0"/>
        <w:sz w:val="28"/>
        <w:szCs w:val="21"/>
      </w:rPr>
      <w:t>2</w:t>
    </w:r>
    <w:r>
      <w:rPr>
        <w:rFonts w:hint="eastAsia" w:ascii="仿宋_GB2312" w:hAnsi="宋体" w:eastAsia="仿宋_GB2312"/>
        <w:kern w:val="0"/>
        <w:sz w:val="28"/>
        <w:szCs w:val="21"/>
      </w:rPr>
      <w:fldChar w:fldCharType="end"/>
    </w:r>
    <w:r>
      <w:rPr>
        <w:rFonts w:hint="eastAsia" w:ascii="仿宋_GB2312" w:hAnsi="宋体" w:eastAsia="仿宋_GB2312"/>
        <w:kern w:val="0"/>
        <w:sz w:val="28"/>
        <w:szCs w:val="21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D65495"/>
    <w:rsid w:val="04164ED5"/>
    <w:rsid w:val="041B6C47"/>
    <w:rsid w:val="05940A1E"/>
    <w:rsid w:val="062A3DD8"/>
    <w:rsid w:val="06377AA5"/>
    <w:rsid w:val="12DF556C"/>
    <w:rsid w:val="15A94F65"/>
    <w:rsid w:val="163015FA"/>
    <w:rsid w:val="170001DC"/>
    <w:rsid w:val="17933433"/>
    <w:rsid w:val="1AC57E6A"/>
    <w:rsid w:val="1B5E3B7F"/>
    <w:rsid w:val="1D8059B3"/>
    <w:rsid w:val="1FBA4525"/>
    <w:rsid w:val="1FE56B33"/>
    <w:rsid w:val="22BF71DF"/>
    <w:rsid w:val="23727BC9"/>
    <w:rsid w:val="24DF3DE4"/>
    <w:rsid w:val="2A8F7380"/>
    <w:rsid w:val="308B2446"/>
    <w:rsid w:val="36676992"/>
    <w:rsid w:val="38857F77"/>
    <w:rsid w:val="3A6C2D49"/>
    <w:rsid w:val="3AAB05F3"/>
    <w:rsid w:val="3C094ED4"/>
    <w:rsid w:val="40D54711"/>
    <w:rsid w:val="42C92DCF"/>
    <w:rsid w:val="43C01BD1"/>
    <w:rsid w:val="4AD65495"/>
    <w:rsid w:val="4CD82B6B"/>
    <w:rsid w:val="540D1828"/>
    <w:rsid w:val="54CE5A76"/>
    <w:rsid w:val="60AE0011"/>
    <w:rsid w:val="647C6867"/>
    <w:rsid w:val="6A954F48"/>
    <w:rsid w:val="6DA37ECC"/>
    <w:rsid w:val="6FE1090D"/>
    <w:rsid w:val="733D0BF9"/>
    <w:rsid w:val="74451B0D"/>
    <w:rsid w:val="75E7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2021-11-30T06:21:00Z</dcterms:created>
  <dc:creator>培</dc:creator>
  <cp:lastModifiedBy>培</cp:lastModifiedBy>
  <dcterms:modified xsi:type="dcterms:W3CDTF">2021-11-30T06:21:33Z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