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关于《深圳市规划和自然资源局关于深圳市海域使用权立体设权审批指引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（草案）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》向社会征求意见收集及采纳情况表</w:t>
      </w:r>
    </w:p>
    <w:tbl>
      <w:tblPr>
        <w:tblStyle w:val="6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992"/>
        <w:gridCol w:w="2014"/>
        <w:gridCol w:w="6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8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bookmarkStart w:id="0" w:name="_Hlk54598345"/>
            <w:r>
              <w:rPr>
                <w:rFonts w:hint="eastAsia" w:ascii="黑体" w:eastAsia="黑体"/>
                <w:b/>
                <w:sz w:val="32"/>
                <w:szCs w:val="32"/>
              </w:rPr>
              <w:t>序号</w:t>
            </w:r>
          </w:p>
        </w:tc>
        <w:tc>
          <w:tcPr>
            <w:tcW w:w="4992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意见或建议</w:t>
            </w:r>
          </w:p>
        </w:tc>
        <w:tc>
          <w:tcPr>
            <w:tcW w:w="2014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单位/个人</w:t>
            </w:r>
          </w:p>
        </w:tc>
        <w:tc>
          <w:tcPr>
            <w:tcW w:w="601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lang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84" w:type="dxa"/>
          </w:tcPr>
          <w:p>
            <w:pPr>
              <w:ind w:firstLine="441" w:firstLineChars="200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</w:t>
            </w:r>
          </w:p>
        </w:tc>
        <w:tc>
          <w:tcPr>
            <w:tcW w:w="4992" w:type="dxa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审批指引》二：主宗海、副宗海的形式进行确权。建议宗海的确权有优先顺序，这样能明确主要责任主体，在某特定海域范围，还需明确保护责任主体。如主宗海使用者是责任主体，其它副宗海使用者责任也需由主宗海使用者承担管理责任。</w:t>
            </w:r>
          </w:p>
        </w:tc>
        <w:tc>
          <w:tcPr>
            <w:tcW w:w="2014" w:type="dxa"/>
            <w:vMerge w:val="restart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黄*梅 </w:t>
            </w:r>
            <w:r>
              <w:rPr>
                <w:rFonts w:asciiTheme="minorEastAsia" w:hAnsiTheme="minorEastAsia"/>
                <w:szCs w:val="21"/>
              </w:rPr>
              <w:t xml:space="preserve">940***72@qq.com </w:t>
            </w:r>
          </w:p>
        </w:tc>
        <w:tc>
          <w:tcPr>
            <w:tcW w:w="6010" w:type="dxa"/>
          </w:tcPr>
          <w:p>
            <w:pPr>
              <w:ind w:firstLine="441" w:firstLineChars="200"/>
              <w:rPr>
                <w:rFonts w:hint="eastAsia" w:asciiTheme="minorEastAsia" w:hAnsiTheme="minorEastAsia" w:eastAsiaTheme="maj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解释。</w:t>
            </w:r>
            <w:r>
              <w:rPr>
                <w:rFonts w:hint="eastAsia" w:asciiTheme="minorEastAsia" w:hAnsiTheme="minorEastAsia"/>
                <w:szCs w:val="21"/>
              </w:rPr>
              <w:t>原《审批指引》已修改为《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深圳市规划和自然资源局关于推进海域使用立体设权的</w:t>
            </w:r>
            <w:r>
              <w:rPr>
                <w:rFonts w:hint="eastAsia" w:asciiTheme="minorEastAsia" w:hAnsiTheme="minorEastAsia"/>
                <w:szCs w:val="21"/>
              </w:rPr>
              <w:t>通知》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（以下简称《通知》）。</w:t>
            </w:r>
            <w:r>
              <w:rPr>
                <w:rFonts w:hint="eastAsia" w:asciiTheme="minorEastAsia" w:hAnsiTheme="minorEastAsia"/>
                <w:szCs w:val="21"/>
              </w:rPr>
              <w:t>原 “主宗海、副宗海的形式进行确权”的表述已删除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，关于桥梁涉及</w:t>
            </w:r>
            <w:r>
              <w:rPr>
                <w:rFonts w:hint="eastAsia" w:asciiTheme="minorEastAsia" w:hAnsiTheme="minorEastAsia"/>
                <w:szCs w:val="21"/>
              </w:rPr>
              <w:t>“主宗海”“副宗海”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的确权范围，在拟同步出台的《深圳市海域使用立体设权技术指引》中已修改为</w:t>
            </w:r>
            <w:r>
              <w:rPr>
                <w:rFonts w:hint="eastAsia" w:asciiTheme="minorEastAsia" w:hAnsiTheme="minorEastAsia"/>
                <w:szCs w:val="21"/>
              </w:rPr>
              <w:t>“桥面宗海单元”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“桥墩宗海单元”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，并明确跨海桥梁用海以桥面宗海单元、桥墩单元的形式进行确权。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84" w:type="dxa"/>
          </w:tcPr>
          <w:p>
            <w:pPr>
              <w:ind w:firstLine="441" w:firstLineChars="200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</w:t>
            </w:r>
          </w:p>
        </w:tc>
        <w:tc>
          <w:tcPr>
            <w:tcW w:w="4992" w:type="dxa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《审批指引》五：建议明晰海域使用金的征收方式、海域使用年限等细节问题，跟《海域法》相关的问题建议在《审批指引》里进行明确。</w:t>
            </w:r>
          </w:p>
        </w:tc>
        <w:tc>
          <w:tcPr>
            <w:tcW w:w="2014" w:type="dxa"/>
            <w:vMerge w:val="continue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0" w:type="dxa"/>
          </w:tcPr>
          <w:p>
            <w:pPr>
              <w:ind w:firstLine="441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采纳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。</w:t>
            </w:r>
            <w:r>
              <w:rPr>
                <w:rFonts w:hint="eastAsia" w:asciiTheme="minorEastAsia" w:hAnsiTheme="minorEastAsia"/>
                <w:szCs w:val="21"/>
              </w:rPr>
              <w:t>原《审批指引》第五章已修改为《通知》第五条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，并明确：实施海域使用立体设权的海域出让，应遵循国家和本市海域使用权审批出让管理相关规定，海域使用金按照“一物一权、一证一缴”分别计征。符合海域使用金减免条件的，按照相关规定申请减免。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84" w:type="dxa"/>
          </w:tcPr>
          <w:p>
            <w:pPr>
              <w:ind w:firstLine="441" w:firstLineChars="200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</w:t>
            </w:r>
          </w:p>
        </w:tc>
        <w:tc>
          <w:tcPr>
            <w:tcW w:w="4992" w:type="dxa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《审批指引》三（二）：相关者协调性。立体设权用海项目论证报告中，除文件内提及的重点论证项目外，还需就项目到期后退出海域的实施方案进行协商论证。</w:t>
            </w:r>
          </w:p>
        </w:tc>
        <w:tc>
          <w:tcPr>
            <w:tcW w:w="2014" w:type="dxa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郭*</w:t>
            </w:r>
            <w:r>
              <w:rPr>
                <w:rFonts w:asciiTheme="minorEastAsia" w:hAnsiTheme="minorEastAsia"/>
                <w:szCs w:val="21"/>
              </w:rPr>
              <w:t xml:space="preserve"> 150******75</w:t>
            </w:r>
          </w:p>
        </w:tc>
        <w:tc>
          <w:tcPr>
            <w:tcW w:w="6010" w:type="dxa"/>
          </w:tcPr>
          <w:p>
            <w:pPr>
              <w:ind w:firstLine="441" w:firstLineChars="200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采纳。</w:t>
            </w:r>
            <w:r>
              <w:rPr>
                <w:rFonts w:hint="eastAsia" w:asciiTheme="minorEastAsia" w:hAnsiTheme="minorEastAsia"/>
                <w:szCs w:val="21"/>
              </w:rPr>
              <w:t>原《审批指引》第三章第二节已修改为《通知》第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三条第三款</w:t>
            </w:r>
            <w:r>
              <w:rPr>
                <w:rFonts w:hint="eastAsia" w:asciiTheme="minorEastAsia" w:hAnsiTheme="minorEastAsia"/>
                <w:szCs w:val="21"/>
              </w:rPr>
              <w:t>。已在《通知》三（三）“开展利益相关者协调”部分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明确：海域使用论证报告须明确项目用海到期后退出方案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84" w:type="dxa"/>
          </w:tcPr>
          <w:p>
            <w:pPr>
              <w:ind w:firstLine="441" w:firstLineChars="200"/>
              <w:rPr>
                <w:rFonts w:asciiTheme="minorEastAsia" w:hAnsiTheme="minorEastAsia"/>
                <w:b/>
                <w:bCs/>
                <w:szCs w:val="21"/>
              </w:rPr>
            </w:pPr>
          </w:p>
          <w:p>
            <w:pPr>
              <w:ind w:firstLine="441" w:firstLineChars="200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</w:t>
            </w:r>
          </w:p>
        </w:tc>
        <w:tc>
          <w:tcPr>
            <w:tcW w:w="4992" w:type="dxa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《审批指引》七：加强立体设权项目监督管理。监督管理中未涉及用海出让等问题，应在条文中明确用海出让后的权利义务转移关系。</w:t>
            </w:r>
          </w:p>
        </w:tc>
        <w:tc>
          <w:tcPr>
            <w:tcW w:w="2014" w:type="dxa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阿*</w:t>
            </w:r>
            <w:r>
              <w:rPr>
                <w:rFonts w:asciiTheme="minorEastAsia" w:hAnsiTheme="minorEastAsia"/>
                <w:szCs w:val="21"/>
              </w:rPr>
              <w:t xml:space="preserve"> 138******25</w:t>
            </w:r>
          </w:p>
        </w:tc>
        <w:tc>
          <w:tcPr>
            <w:tcW w:w="6010" w:type="dxa"/>
          </w:tcPr>
          <w:p>
            <w:pPr>
              <w:ind w:firstLine="441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采纳。</w:t>
            </w:r>
            <w:r>
              <w:rPr>
                <w:rFonts w:hint="eastAsia" w:asciiTheme="minorEastAsia" w:hAnsiTheme="minorEastAsia"/>
                <w:szCs w:val="21"/>
              </w:rPr>
              <w:t>原《审批指引》第七章已修改为《通知》第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七条</w:t>
            </w:r>
            <w:r>
              <w:rPr>
                <w:rFonts w:hint="eastAsia" w:asciiTheme="minorEastAsia" w:hAnsiTheme="minorEastAsia"/>
                <w:szCs w:val="21"/>
              </w:rPr>
              <w:t>。已在《通知》第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七条</w:t>
            </w:r>
            <w:r>
              <w:rPr>
                <w:rFonts w:hint="eastAsia" w:asciiTheme="minorEastAsia" w:hAnsiTheme="minorEastAsia"/>
                <w:szCs w:val="21"/>
              </w:rPr>
              <w:t>“监督管理”部分增加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：要加强对海域使用权属关系变化的监管，海域立体使用权转让时，相应权责义务随之转移。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84" w:type="dxa"/>
          </w:tcPr>
          <w:p>
            <w:pPr>
              <w:ind w:firstLine="441" w:firstLineChars="200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</w:t>
            </w:r>
          </w:p>
        </w:tc>
        <w:tc>
          <w:tcPr>
            <w:tcW w:w="4992" w:type="dxa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《审批指引》二：明确海域使用权立体设权的范围。条文内大致指出部分可进行立体设权的海域范围，避免“法无禁令即可行”的思想，应明确列出不可进行立体设权的项目。</w:t>
            </w:r>
          </w:p>
        </w:tc>
        <w:tc>
          <w:tcPr>
            <w:tcW w:w="2014" w:type="dxa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陈*</w:t>
            </w:r>
            <w:r>
              <w:rPr>
                <w:rFonts w:asciiTheme="minorEastAsia" w:hAnsiTheme="minorEastAsia"/>
                <w:szCs w:val="21"/>
              </w:rPr>
              <w:t xml:space="preserve"> 177******26</w:t>
            </w:r>
          </w:p>
        </w:tc>
        <w:tc>
          <w:tcPr>
            <w:tcW w:w="6010" w:type="dxa"/>
          </w:tcPr>
          <w:p>
            <w:pPr>
              <w:ind w:firstLine="441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采纳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。</w:t>
            </w:r>
            <w:r>
              <w:rPr>
                <w:rFonts w:hint="eastAsia" w:asciiTheme="minorEastAsia" w:hAnsiTheme="minorEastAsia"/>
                <w:szCs w:val="21"/>
              </w:rPr>
              <w:t>原《审批指引》已修改为《通知》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/>
                <w:szCs w:val="21"/>
              </w:rPr>
              <w:t>《通知》中第二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条</w:t>
            </w:r>
            <w:r>
              <w:rPr>
                <w:rFonts w:hint="eastAsia" w:asciiTheme="minorEastAsia" w:hAnsiTheme="minorEastAsia"/>
                <w:szCs w:val="21"/>
              </w:rPr>
              <w:t>已改为“适用范围”。本《通知》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对正面清单和负面清单均有表述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984" w:type="dxa"/>
          </w:tcPr>
          <w:p>
            <w:pPr>
              <w:ind w:firstLine="441" w:firstLineChars="200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</w:t>
            </w:r>
          </w:p>
        </w:tc>
        <w:tc>
          <w:tcPr>
            <w:tcW w:w="4992" w:type="dxa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同一海域空间，原则确权一个主体—“全空间”申请；（主宗海+副宗海）。</w:t>
            </w:r>
          </w:p>
        </w:tc>
        <w:tc>
          <w:tcPr>
            <w:tcW w:w="2014" w:type="dxa"/>
            <w:vMerge w:val="restart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谢*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自然资源部南海局</w:t>
            </w:r>
          </w:p>
        </w:tc>
        <w:tc>
          <w:tcPr>
            <w:tcW w:w="6010" w:type="dxa"/>
          </w:tcPr>
          <w:p>
            <w:pPr>
              <w:ind w:firstLine="441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采纳。</w:t>
            </w:r>
            <w:r>
              <w:rPr>
                <w:rFonts w:hint="eastAsia" w:asciiTheme="minorEastAsia" w:hAnsiTheme="minorEastAsia"/>
                <w:szCs w:val="21"/>
              </w:rPr>
              <w:t>原《审批指引》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提到的</w:t>
            </w:r>
            <w:r>
              <w:rPr>
                <w:rFonts w:hint="eastAsia" w:asciiTheme="minorEastAsia" w:hAnsiTheme="minorEastAsia"/>
                <w:szCs w:val="21"/>
              </w:rPr>
              <w:t>“主宗海”“副宗海”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在拟同步出台的《深圳市海域使用立体设权技术指引》中调整为</w:t>
            </w:r>
            <w:r>
              <w:rPr>
                <w:rFonts w:hint="eastAsia" w:asciiTheme="minorEastAsia" w:hAnsiTheme="minorEastAsia"/>
                <w:szCs w:val="21"/>
              </w:rPr>
              <w:t>“桥面宗海单元”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</w:rPr>
              <w:t>“桥墩宗海单元”，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并明确跨海桥梁用海以桥面宗海单元、桥墩单元的形式进行确权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84" w:type="dxa"/>
          </w:tcPr>
          <w:p>
            <w:pPr>
              <w:ind w:firstLine="441" w:firstLineChars="200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</w:t>
            </w:r>
          </w:p>
        </w:tc>
        <w:tc>
          <w:tcPr>
            <w:tcW w:w="4992" w:type="dxa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同一海域空间出现不同主体申请确权，经协商分层确权并签订使用协调协议。</w:t>
            </w:r>
          </w:p>
        </w:tc>
        <w:tc>
          <w:tcPr>
            <w:tcW w:w="2014" w:type="dxa"/>
            <w:vMerge w:val="continue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0" w:type="dxa"/>
          </w:tcPr>
          <w:p>
            <w:pPr>
              <w:ind w:firstLine="441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采纳。</w:t>
            </w:r>
            <w:r>
              <w:rPr>
                <w:rFonts w:hint="eastAsia" w:asciiTheme="minorEastAsia" w:hAnsiTheme="minorEastAsia"/>
                <w:szCs w:val="21"/>
              </w:rPr>
              <w:t>原《审批指引》已修改为《通知》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/>
                <w:szCs w:val="21"/>
              </w:rPr>
              <w:t>已在《通知》第三条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第三款明确</w:t>
            </w:r>
            <w:r>
              <w:rPr>
                <w:rFonts w:hint="eastAsia" w:asciiTheme="minorEastAsia" w:hAnsiTheme="minorEastAsia"/>
                <w:szCs w:val="21"/>
              </w:rPr>
              <w:t>海域使用立体设权用海项目须按照原海域使用审批规定，取得相邻及同一海域其他海域使用权人的意见。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84" w:type="dxa"/>
          </w:tcPr>
          <w:p>
            <w:pPr>
              <w:ind w:firstLine="441" w:firstLineChars="200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</w:t>
            </w:r>
          </w:p>
        </w:tc>
        <w:tc>
          <w:tcPr>
            <w:tcW w:w="4992" w:type="dxa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充分发挥市场在配置资源中的决定性作用，“全空间”（主宗海）用海主体，可按分层设置海域使用权原则，按申请使用范围合法经营各层使用且依法纳税（或收益溢价与政府分成），同时履行好保护养护义务；变更用海方式的，依法申请变更。</w:t>
            </w:r>
          </w:p>
        </w:tc>
        <w:tc>
          <w:tcPr>
            <w:tcW w:w="2014" w:type="dxa"/>
            <w:vMerge w:val="continue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0" w:type="dxa"/>
          </w:tcPr>
          <w:p>
            <w:pPr>
              <w:ind w:firstLine="441" w:firstLineChars="200"/>
              <w:rPr>
                <w:rFonts w:hint="eastAsia" w:asciiTheme="minorEastAsia" w:hAnsiTheme="minorEastAsia" w:eastAsiaTheme="maj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解释。</w:t>
            </w:r>
            <w:r>
              <w:rPr>
                <w:rFonts w:hint="eastAsia" w:asciiTheme="minorEastAsia" w:hAnsiTheme="minorEastAsia"/>
                <w:szCs w:val="21"/>
              </w:rPr>
              <w:t>原《审批指引》已修改为《通知》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/>
                <w:szCs w:val="21"/>
              </w:rPr>
              <w:t>《通知》主要对海域立体使用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适用范围、工作要求、审批、海域使用金缴纳、不动产登记等予以明确</w:t>
            </w:r>
            <w:r>
              <w:rPr>
                <w:rFonts w:hint="eastAsia" w:asciiTheme="minorEastAsia" w:hAnsiTheme="minorEastAsia"/>
                <w:szCs w:val="21"/>
              </w:rPr>
              <w:t>，经营和纳税问题不在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《通知》规定</w:t>
            </w:r>
            <w:r>
              <w:rPr>
                <w:rFonts w:hint="eastAsia" w:asciiTheme="minorEastAsia" w:hAnsiTheme="minorEastAsia"/>
                <w:szCs w:val="21"/>
              </w:rPr>
              <w:t>范围内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84" w:type="dxa"/>
          </w:tcPr>
          <w:p>
            <w:pPr>
              <w:ind w:firstLine="441" w:firstLineChars="200"/>
              <w:rPr>
                <w:rFonts w:hint="eastAsia" w:asciiTheme="minorEastAsia" w:hAnsiTheme="minorEastAsia" w:eastAsiaTheme="maj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9</w:t>
            </w:r>
          </w:p>
        </w:tc>
        <w:tc>
          <w:tcPr>
            <w:tcW w:w="4992" w:type="dxa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更好发挥政府作用，强化监督管理，重点做好使用方式监管、保护养护检查和利益相关矛盾化解纠纷等工作。</w:t>
            </w:r>
          </w:p>
        </w:tc>
        <w:tc>
          <w:tcPr>
            <w:tcW w:w="2014" w:type="dxa"/>
            <w:vMerge w:val="continue"/>
          </w:tcPr>
          <w:p>
            <w:pPr>
              <w:ind w:firstLine="440" w:firstLineChars="2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10" w:type="dxa"/>
          </w:tcPr>
          <w:p>
            <w:pPr>
              <w:ind w:firstLine="441" w:firstLineChars="200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采纳。</w:t>
            </w:r>
            <w:r>
              <w:rPr>
                <w:rFonts w:hint="eastAsia" w:asciiTheme="minorEastAsia" w:hAnsiTheme="minorEastAsia"/>
                <w:szCs w:val="21"/>
              </w:rPr>
              <w:t>原《审批指引》已修改为《通知》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/>
                <w:szCs w:val="21"/>
              </w:rPr>
              <w:t>已在《通知》第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七条</w:t>
            </w:r>
            <w:r>
              <w:rPr>
                <w:rFonts w:hint="eastAsia" w:asciiTheme="minorEastAsia" w:hAnsiTheme="minorEastAsia"/>
                <w:szCs w:val="21"/>
              </w:rPr>
              <w:t>监督管理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bookmarkStart w:id="1" w:name="_GoBack"/>
            <w:bookmarkEnd w:id="1"/>
            <w:r>
              <w:rPr>
                <w:rFonts w:hint="eastAsia" w:asciiTheme="minorEastAsia" w:hAnsiTheme="minorEastAsia"/>
                <w:szCs w:val="21"/>
              </w:rPr>
              <w:t>对海域使用方式监管、保护养护检查做出要求。</w:t>
            </w:r>
          </w:p>
        </w:tc>
      </w:tr>
      <w:bookmarkEnd w:id="0"/>
    </w:tbl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19741B"/>
    <w:rsid w:val="001D7604"/>
    <w:rsid w:val="001F57BB"/>
    <w:rsid w:val="002F789B"/>
    <w:rsid w:val="003771A5"/>
    <w:rsid w:val="00584A8B"/>
    <w:rsid w:val="006369E0"/>
    <w:rsid w:val="009A29EA"/>
    <w:rsid w:val="009F3FF0"/>
    <w:rsid w:val="00A51AAF"/>
    <w:rsid w:val="00A67539"/>
    <w:rsid w:val="00A73C1D"/>
    <w:rsid w:val="00AF0C68"/>
    <w:rsid w:val="00AF10E4"/>
    <w:rsid w:val="00DE504D"/>
    <w:rsid w:val="00E2530E"/>
    <w:rsid w:val="00E412E3"/>
    <w:rsid w:val="00EB0625"/>
    <w:rsid w:val="062EF48A"/>
    <w:rsid w:val="0F6F89D0"/>
    <w:rsid w:val="1BE65A52"/>
    <w:rsid w:val="1E1D099F"/>
    <w:rsid w:val="2D161443"/>
    <w:rsid w:val="315E2712"/>
    <w:rsid w:val="32F91AAA"/>
    <w:rsid w:val="3FACF519"/>
    <w:rsid w:val="41F85222"/>
    <w:rsid w:val="5519741B"/>
    <w:rsid w:val="5DCA489F"/>
    <w:rsid w:val="6482276B"/>
    <w:rsid w:val="689F3669"/>
    <w:rsid w:val="69055455"/>
    <w:rsid w:val="7FB3FDA0"/>
    <w:rsid w:val="7FE10BA6"/>
    <w:rsid w:val="7FFF6FB9"/>
    <w:rsid w:val="BFD74FAC"/>
    <w:rsid w:val="D7F9AF4E"/>
    <w:rsid w:val="DCB742A7"/>
    <w:rsid w:val="DFF7EF9E"/>
    <w:rsid w:val="FCBFAC08"/>
    <w:rsid w:val="FF354C0C"/>
    <w:rsid w:val="FF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rFonts w:asciiTheme="majorHAnsi" w:hAnsiTheme="majorHAnsi" w:eastAsiaTheme="majorEastAsia" w:cstheme="majorBidi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ajorHAnsi" w:hAnsiTheme="majorHAnsi" w:eastAsiaTheme="majorEastAsia" w:cstheme="majorBidi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224</Words>
  <Characters>1282</Characters>
  <Lines>10</Lines>
  <Paragraphs>3</Paragraphs>
  <TotalTime>1</TotalTime>
  <ScaleCrop>false</ScaleCrop>
  <LinksUpToDate>false</LinksUpToDate>
  <CharactersWithSpaces>1503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2023-09-22T06:03:00Z</dcterms:created>
  <dc:creator>songlt</dc:creator>
  <cp:lastModifiedBy>qilin</cp:lastModifiedBy>
  <dcterms:modified xsi:type="dcterms:W3CDTF">2023-10-18T15:02:47Z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