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仿宋_GB2312" w:hAnsi="仿宋_GB2312" w:eastAsia="仿宋_GB2312" w:cs="仿宋_GB2312"/>
        </w:rPr>
      </w:pPr>
      <w:bookmarkStart w:id="0" w:name="_GoBack"/>
      <w:bookmarkEnd w:id="0"/>
    </w:p>
    <w:p>
      <w:pPr>
        <w:spacing w:before="1" w:line="222" w:lineRule="auto"/>
        <w:jc w:val="both"/>
        <w:rPr>
          <w:rFonts w:hint="eastAsia" w:ascii="仿宋_GB2312" w:hAnsi="仿宋_GB2312" w:eastAsia="仿宋_GB2312" w:cs="仿宋_GB2312"/>
          <w:spacing w:val="6"/>
          <w:sz w:val="43"/>
          <w:szCs w:val="43"/>
        </w:rPr>
      </w:pPr>
    </w:p>
    <w:p>
      <w:pPr>
        <w:pStyle w:val="2"/>
        <w:rPr>
          <w:rFonts w:hint="eastAsia"/>
        </w:rPr>
      </w:pPr>
    </w:p>
    <w:p>
      <w:pPr>
        <w:spacing w:before="1" w:line="222" w:lineRule="auto"/>
        <w:jc w:val="center"/>
        <w:rPr>
          <w:rFonts w:hint="eastAsia" w:ascii="仿宋_GB2312" w:hAnsi="仿宋_GB2312" w:eastAsia="仿宋_GB2312" w:cs="仿宋_GB2312"/>
          <w:spacing w:val="6"/>
          <w:sz w:val="43"/>
          <w:szCs w:val="43"/>
        </w:rPr>
      </w:pPr>
    </w:p>
    <w:p>
      <w:pPr>
        <w:spacing w:before="1" w:line="222" w:lineRule="auto"/>
        <w:jc w:val="center"/>
        <w:rPr>
          <w:rFonts w:hint="eastAsia" w:ascii="仿宋_GB2312" w:hAnsi="仿宋_GB2312" w:eastAsia="仿宋_GB2312" w:cs="仿宋_GB2312"/>
          <w:b/>
          <w:bCs/>
          <w:sz w:val="52"/>
          <w:szCs w:val="52"/>
          <w:lang w:eastAsia="zh-CN"/>
        </w:rPr>
      </w:pPr>
      <w:r>
        <w:rPr>
          <w:rFonts w:hint="eastAsia" w:ascii="仿宋_GB2312" w:hAnsi="仿宋_GB2312" w:eastAsia="仿宋_GB2312" w:cs="仿宋_GB2312"/>
          <w:b/>
          <w:bCs/>
          <w:spacing w:val="6"/>
          <w:sz w:val="52"/>
          <w:szCs w:val="52"/>
          <w:lang w:val="en-US" w:eastAsia="zh-CN"/>
        </w:rPr>
        <w:t>履约评价</w:t>
      </w:r>
      <w:r>
        <w:rPr>
          <w:rFonts w:hint="eastAsia" w:ascii="仿宋_GB2312" w:hAnsi="仿宋_GB2312" w:eastAsia="仿宋_GB2312" w:cs="仿宋_GB2312"/>
          <w:b/>
          <w:bCs/>
          <w:spacing w:val="6"/>
          <w:sz w:val="52"/>
          <w:szCs w:val="52"/>
          <w:lang w:eastAsia="zh-CN"/>
        </w:rPr>
        <w:t>报告</w:t>
      </w:r>
    </w:p>
    <w:p>
      <w:pPr>
        <w:spacing w:before="1" w:line="222" w:lineRule="auto"/>
        <w:ind w:firstLine="2870"/>
        <w:rPr>
          <w:rFonts w:hint="eastAsia" w:ascii="仿宋_GB2312" w:hAnsi="仿宋_GB2312" w:eastAsia="仿宋_GB2312" w:cs="仿宋_GB2312"/>
          <w:sz w:val="43"/>
          <w:szCs w:val="43"/>
        </w:rPr>
      </w:pPr>
    </w:p>
    <w:p>
      <w:pPr>
        <w:spacing w:line="253" w:lineRule="auto"/>
        <w:rPr>
          <w:rFonts w:hint="eastAsia" w:ascii="仿宋_GB2312" w:hAnsi="仿宋_GB2312" w:eastAsia="仿宋_GB2312" w:cs="仿宋_GB2312"/>
        </w:rPr>
      </w:pPr>
    </w:p>
    <w:p>
      <w:pPr>
        <w:spacing w:line="253" w:lineRule="auto"/>
        <w:rPr>
          <w:rFonts w:hint="eastAsia" w:ascii="仿宋_GB2312" w:hAnsi="仿宋_GB2312" w:eastAsia="仿宋_GB2312" w:cs="仿宋_GB2312"/>
        </w:rPr>
      </w:pPr>
    </w:p>
    <w:p>
      <w:pPr>
        <w:spacing w:line="253" w:lineRule="auto"/>
        <w:rPr>
          <w:rFonts w:hint="eastAsia" w:ascii="仿宋_GB2312" w:hAnsi="仿宋_GB2312" w:eastAsia="仿宋_GB2312" w:cs="仿宋_GB2312"/>
        </w:rPr>
      </w:pPr>
    </w:p>
    <w:p>
      <w:pPr>
        <w:spacing w:line="253" w:lineRule="auto"/>
        <w:rPr>
          <w:rFonts w:hint="eastAsia" w:ascii="仿宋_GB2312" w:hAnsi="仿宋_GB2312" w:eastAsia="仿宋_GB2312" w:cs="仿宋_GB2312"/>
        </w:rPr>
      </w:pPr>
    </w:p>
    <w:p>
      <w:pPr>
        <w:spacing w:line="255" w:lineRule="auto"/>
        <w:rPr>
          <w:rFonts w:hint="eastAsia" w:ascii="仿宋_GB2312" w:hAnsi="仿宋_GB2312" w:eastAsia="仿宋_GB2312" w:cs="仿宋_GB2312"/>
        </w:rPr>
      </w:pPr>
    </w:p>
    <w:p>
      <w:pPr>
        <w:spacing w:line="255" w:lineRule="auto"/>
        <w:ind w:left="0" w:leftChars="0" w:firstLine="0" w:firstLineChars="0"/>
        <w:rPr>
          <w:rFonts w:hint="eastAsia" w:ascii="仿宋_GB2312" w:hAnsi="仿宋_GB2312" w:eastAsia="仿宋_GB2312" w:cs="仿宋_GB2312"/>
        </w:rPr>
      </w:pPr>
    </w:p>
    <w:p>
      <w:pPr>
        <w:spacing w:before="101" w:line="221" w:lineRule="auto"/>
        <w:ind w:firstLine="656" w:firstLineChars="200"/>
        <w:rPr>
          <w:rFonts w:hint="eastAsia" w:ascii="仿宋_GB2312" w:hAnsi="仿宋_GB2312" w:eastAsia="仿宋_GB2312" w:cs="仿宋_GB2312"/>
          <w:spacing w:val="10"/>
          <w:sz w:val="31"/>
          <w:szCs w:val="31"/>
          <w:lang w:val="en-US" w:eastAsia="zh-CN"/>
        </w:rPr>
      </w:pPr>
      <w:r>
        <w:rPr>
          <w:rFonts w:hint="eastAsia" w:ascii="仿宋_GB2312" w:hAnsi="仿宋_GB2312" w:eastAsia="仿宋_GB2312" w:cs="仿宋_GB2312"/>
          <w:spacing w:val="9"/>
          <w:sz w:val="31"/>
          <w:szCs w:val="31"/>
        </w:rPr>
        <w:t>项目名称</w:t>
      </w:r>
      <w:r>
        <w:rPr>
          <w:rFonts w:hint="eastAsia" w:ascii="仿宋_GB2312" w:hAnsi="仿宋_GB2312" w:eastAsia="仿宋_GB2312" w:cs="仿宋_GB2312"/>
          <w:spacing w:val="10"/>
          <w:sz w:val="31"/>
          <w:szCs w:val="31"/>
        </w:rPr>
        <w:t>：2022-2023年固定资产清查盘点技术服务</w:t>
      </w:r>
    </w:p>
    <w:p>
      <w:pPr>
        <w:spacing w:before="252" w:line="221" w:lineRule="auto"/>
        <w:ind w:firstLine="660" w:firstLineChars="200"/>
        <w:rPr>
          <w:rFonts w:hint="eastAsia" w:ascii="仿宋_GB2312" w:hAnsi="仿宋_GB2312" w:eastAsia="仿宋_GB2312" w:cs="仿宋_GB2312"/>
          <w:spacing w:val="10"/>
          <w:sz w:val="31"/>
          <w:szCs w:val="31"/>
          <w:lang w:val="en-US" w:eastAsia="zh-CN"/>
        </w:rPr>
      </w:pPr>
      <w:r>
        <w:rPr>
          <w:rFonts w:hint="eastAsia" w:ascii="仿宋_GB2312" w:hAnsi="仿宋_GB2312" w:eastAsia="仿宋_GB2312" w:cs="仿宋_GB2312"/>
          <w:spacing w:val="10"/>
          <w:sz w:val="31"/>
          <w:szCs w:val="31"/>
          <w:lang w:val="en-US" w:eastAsia="zh-CN"/>
        </w:rPr>
        <w:t>委托方</w:t>
      </w:r>
      <w:r>
        <w:rPr>
          <w:rFonts w:hint="eastAsia" w:ascii="仿宋_GB2312" w:hAnsi="仿宋_GB2312" w:eastAsia="仿宋_GB2312" w:cs="仿宋_GB2312"/>
          <w:spacing w:val="10"/>
          <w:sz w:val="31"/>
          <w:szCs w:val="31"/>
        </w:rPr>
        <w:t>：</w:t>
      </w:r>
      <w:r>
        <w:rPr>
          <w:rFonts w:hint="eastAsia" w:ascii="仿宋_GB2312" w:hAnsi="仿宋_GB2312" w:eastAsia="仿宋_GB2312" w:cs="仿宋_GB2312"/>
          <w:spacing w:val="10"/>
          <w:sz w:val="31"/>
          <w:szCs w:val="31"/>
          <w:lang w:val="en-US" w:eastAsia="zh-CN"/>
        </w:rPr>
        <w:t>深圳市规划和自然资源局龙岗管理局</w:t>
      </w:r>
    </w:p>
    <w:p>
      <w:pPr>
        <w:spacing w:before="252" w:line="221" w:lineRule="auto"/>
        <w:ind w:firstLine="660" w:firstLineChars="200"/>
        <w:rPr>
          <w:rFonts w:hint="default" w:ascii="仿宋_GB2312" w:hAnsi="仿宋_GB2312" w:eastAsia="仿宋_GB2312" w:cs="仿宋_GB2312"/>
          <w:spacing w:val="10"/>
          <w:sz w:val="31"/>
          <w:szCs w:val="31"/>
          <w:lang w:val="en-US" w:eastAsia="zh-CN"/>
        </w:rPr>
      </w:pPr>
      <w:r>
        <w:rPr>
          <w:rFonts w:hint="eastAsia" w:ascii="仿宋_GB2312" w:hAnsi="仿宋_GB2312" w:eastAsia="仿宋_GB2312" w:cs="仿宋_GB2312"/>
          <w:spacing w:val="10"/>
          <w:sz w:val="31"/>
          <w:szCs w:val="31"/>
          <w:lang w:val="en-US" w:eastAsia="zh-CN"/>
        </w:rPr>
        <w:t>受托方</w:t>
      </w:r>
      <w:r>
        <w:rPr>
          <w:rFonts w:hint="eastAsia" w:ascii="仿宋_GB2312" w:hAnsi="仿宋_GB2312" w:eastAsia="仿宋_GB2312" w:cs="仿宋_GB2312"/>
          <w:spacing w:val="10"/>
          <w:sz w:val="31"/>
          <w:szCs w:val="31"/>
        </w:rPr>
        <w:t>：</w:t>
      </w:r>
      <w:r>
        <w:rPr>
          <w:rFonts w:hint="eastAsia" w:ascii="仿宋_GB2312" w:hAnsi="仿宋_GB2312" w:eastAsia="仿宋_GB2312" w:cs="仿宋_GB2312"/>
          <w:spacing w:val="10"/>
          <w:sz w:val="31"/>
          <w:szCs w:val="31"/>
          <w:lang w:val="en-US" w:eastAsia="zh-CN"/>
        </w:rPr>
        <w:t>深圳市金政软件技术有限公司</w:t>
      </w:r>
    </w:p>
    <w:p>
      <w:pPr>
        <w:rPr>
          <w:rFonts w:hint="eastAsia" w:ascii="仿宋_GB2312" w:hAnsi="仿宋_GB2312" w:eastAsia="仿宋_GB2312" w:cs="仿宋_GB2312"/>
        </w:rPr>
      </w:pPr>
    </w:p>
    <w:p>
      <w:pPr>
        <w:pStyle w:val="2"/>
        <w:ind w:left="0" w:leftChars="0" w:firstLine="0" w:firstLineChars="0"/>
        <w:rPr>
          <w:rFonts w:hint="eastAsia" w:ascii="仿宋_GB2312" w:hAnsi="仿宋_GB2312" w:eastAsia="仿宋_GB2312" w:cs="仿宋_GB2312"/>
        </w:rPr>
      </w:pPr>
    </w:p>
    <w:p>
      <w:pPr>
        <w:spacing w:before="253" w:line="221" w:lineRule="auto"/>
        <w:ind w:firstLine="606"/>
        <w:jc w:val="center"/>
        <w:rPr>
          <w:rFonts w:hint="eastAsia" w:ascii="仿宋_GB2312" w:hAnsi="仿宋_GB2312" w:eastAsia="仿宋_GB2312" w:cs="仿宋_GB2312"/>
          <w:spacing w:val="8"/>
          <w:sz w:val="31"/>
          <w:szCs w:val="31"/>
        </w:rPr>
      </w:pPr>
      <w:r>
        <w:rPr>
          <w:rFonts w:hint="eastAsia" w:ascii="仿宋_GB2312" w:hAnsi="仿宋_GB2312" w:eastAsia="仿宋_GB2312" w:cs="仿宋_GB2312"/>
          <w:spacing w:val="8"/>
          <w:sz w:val="31"/>
          <w:szCs w:val="31"/>
        </w:rPr>
        <w:t>20</w:t>
      </w:r>
      <w:r>
        <w:rPr>
          <w:rFonts w:hint="eastAsia" w:ascii="仿宋_GB2312" w:hAnsi="仿宋_GB2312" w:eastAsia="仿宋_GB2312" w:cs="仿宋_GB2312"/>
          <w:spacing w:val="8"/>
          <w:sz w:val="31"/>
          <w:szCs w:val="31"/>
          <w:lang w:val="en-US" w:eastAsia="zh-CN"/>
        </w:rPr>
        <w:t>23</w:t>
      </w:r>
      <w:r>
        <w:rPr>
          <w:rFonts w:hint="eastAsia" w:ascii="仿宋_GB2312" w:hAnsi="仿宋_GB2312" w:eastAsia="仿宋_GB2312" w:cs="仿宋_GB2312"/>
          <w:spacing w:val="8"/>
          <w:sz w:val="31"/>
          <w:szCs w:val="31"/>
        </w:rPr>
        <w:t>年</w:t>
      </w:r>
      <w:r>
        <w:rPr>
          <w:rFonts w:hint="eastAsia" w:ascii="仿宋_GB2312" w:hAnsi="仿宋_GB2312" w:eastAsia="仿宋_GB2312" w:cs="仿宋_GB2312"/>
          <w:spacing w:val="8"/>
          <w:sz w:val="31"/>
          <w:szCs w:val="31"/>
          <w:lang w:val="en-US" w:eastAsia="zh-CN"/>
        </w:rPr>
        <w:t>9</w:t>
      </w:r>
      <w:r>
        <w:rPr>
          <w:rFonts w:hint="eastAsia" w:ascii="仿宋_GB2312" w:hAnsi="仿宋_GB2312" w:eastAsia="仿宋_GB2312" w:cs="仿宋_GB2312"/>
          <w:spacing w:val="8"/>
          <w:sz w:val="31"/>
          <w:szCs w:val="31"/>
        </w:rPr>
        <w:t>月</w:t>
      </w:r>
    </w:p>
    <w:p>
      <w:pPr>
        <w:spacing w:line="540" w:lineRule="exact"/>
        <w:ind w:left="0" w:leftChars="0" w:firstLine="0" w:firstLineChars="0"/>
        <w:outlineLvl w:val="0"/>
        <w:rPr>
          <w:rFonts w:hint="eastAsia" w:ascii="仿宋_GB2312" w:hAnsi="仿宋_GB2312" w:eastAsia="仿宋_GB2312" w:cs="仿宋_GB2312"/>
          <w:spacing w:val="8"/>
          <w:sz w:val="28"/>
          <w:szCs w:val="28"/>
        </w:rPr>
        <w:sectPr>
          <w:footerReference r:id="rId5" w:type="default"/>
          <w:pgSz w:w="11906" w:h="16838"/>
          <w:pgMar w:top="1440" w:right="1800" w:bottom="1440" w:left="1800" w:header="851" w:footer="992" w:gutter="0"/>
          <w:pgNumType w:start="1"/>
          <w:cols w:space="720" w:num="1"/>
          <w:docGrid w:type="lines" w:linePitch="312" w:charSpace="0"/>
        </w:sectPr>
      </w:pPr>
    </w:p>
    <w:p>
      <w:pPr>
        <w:spacing w:line="360" w:lineRule="auto"/>
        <w:ind w:firstLine="672" w:firstLineChars="200"/>
        <w:outlineLvl w:val="0"/>
        <w:rPr>
          <w:rFonts w:hint="eastAsia" w:ascii="黑体" w:hAnsi="黑体" w:eastAsia="黑体" w:cs="黑体"/>
          <w:spacing w:val="8"/>
          <w:sz w:val="32"/>
          <w:szCs w:val="32"/>
        </w:rPr>
      </w:pPr>
      <w:r>
        <w:rPr>
          <w:rFonts w:hint="eastAsia" w:ascii="黑体" w:hAnsi="黑体" w:eastAsia="黑体" w:cs="黑体"/>
          <w:spacing w:val="8"/>
          <w:sz w:val="32"/>
          <w:szCs w:val="32"/>
        </w:rPr>
        <w:t>一、项目概况</w:t>
      </w:r>
    </w:p>
    <w:p>
      <w:pPr>
        <w:bidi w:val="0"/>
        <w:rPr>
          <w:rFonts w:hint="default"/>
          <w:lang w:val="en-US" w:eastAsia="zh-CN"/>
        </w:rPr>
      </w:pPr>
      <w:r>
        <w:rPr>
          <w:rFonts w:hint="eastAsia"/>
          <w:lang w:val="en-US" w:eastAsia="zh-CN"/>
        </w:rPr>
        <w:t>本项目为续签项目，原合同采取自行确定供应商方式，由我单位与贵单位签订合同。按照原合同约定，项目为</w:t>
      </w:r>
      <w:r>
        <w:rPr>
          <w:rFonts w:hint="eastAsia"/>
        </w:rPr>
        <w:t>长期服务项目，合同期限可以延长，但最长不超过3年。</w:t>
      </w:r>
      <w:r>
        <w:rPr>
          <w:rFonts w:hint="eastAsia"/>
          <w:lang w:val="en-US" w:eastAsia="zh-CN"/>
        </w:rPr>
        <w:t>本项目为第二年续签合同，服务期限为2022年11月9日至2023年11月8日。</w:t>
      </w:r>
    </w:p>
    <w:p>
      <w:pPr>
        <w:pStyle w:val="2"/>
        <w:spacing w:after="0" w:line="540" w:lineRule="exact"/>
        <w:ind w:firstLine="562" w:firstLineChars="200"/>
        <w:outlineLvl w:val="1"/>
        <w:rPr>
          <w:rFonts w:hint="eastAsia" w:ascii="楷体" w:hAnsi="楷体" w:eastAsia="楷体" w:cs="楷体"/>
          <w:b/>
          <w:bCs/>
          <w:sz w:val="28"/>
          <w:szCs w:val="28"/>
        </w:rPr>
      </w:pPr>
      <w:r>
        <w:rPr>
          <w:rFonts w:hint="eastAsia" w:ascii="楷体" w:hAnsi="楷体" w:eastAsia="楷体" w:cs="楷体"/>
          <w:b/>
          <w:bCs/>
          <w:sz w:val="28"/>
          <w:szCs w:val="28"/>
        </w:rPr>
        <w:t>（一）项目约定内容</w:t>
      </w:r>
    </w:p>
    <w:p>
      <w:pPr>
        <w:bidi w:val="0"/>
        <w:rPr>
          <w:rFonts w:hint="eastAsia"/>
          <w:lang w:val="en-US" w:eastAsia="zh-CN"/>
        </w:rPr>
      </w:pPr>
      <w:r>
        <w:rPr>
          <w:rFonts w:hint="eastAsia"/>
          <w:lang w:val="en-US" w:eastAsia="zh-CN"/>
        </w:rPr>
        <w:t>1. 前期数据整理</w:t>
      </w:r>
    </w:p>
    <w:p>
      <w:pPr>
        <w:bidi w:val="0"/>
        <w:rPr>
          <w:rFonts w:hint="eastAsia"/>
          <w:lang w:val="en-US" w:eastAsia="zh-CN"/>
        </w:rPr>
      </w:pPr>
      <w:r>
        <w:rPr>
          <w:rFonts w:hint="eastAsia"/>
          <w:lang w:val="en-US" w:eastAsia="zh-CN"/>
        </w:rPr>
        <w:t>（1）根据单位情况确定清查周期,制定2022年度实施方案；</w:t>
      </w:r>
    </w:p>
    <w:p>
      <w:pPr>
        <w:bidi w:val="0"/>
        <w:rPr>
          <w:rFonts w:hint="eastAsia"/>
          <w:lang w:val="en-US" w:eastAsia="zh-CN"/>
        </w:rPr>
      </w:pPr>
      <w:r>
        <w:rPr>
          <w:rFonts w:hint="eastAsia"/>
          <w:lang w:val="en-US" w:eastAsia="zh-CN"/>
        </w:rPr>
        <w:t>（2）整理账务数据，熟悉财务账上固定资产相关数据；</w:t>
      </w:r>
    </w:p>
    <w:p>
      <w:pPr>
        <w:bidi w:val="0"/>
        <w:rPr>
          <w:rFonts w:hint="eastAsia"/>
          <w:lang w:val="en-US" w:eastAsia="zh-CN"/>
        </w:rPr>
      </w:pPr>
      <w:r>
        <w:rPr>
          <w:rFonts w:hint="eastAsia"/>
          <w:lang w:val="en-US" w:eastAsia="zh-CN"/>
        </w:rPr>
        <w:t>（3）实物账整理建立电子档案，领用记录整理，生成财务账对应固定资产明细账。</w:t>
      </w:r>
    </w:p>
    <w:p>
      <w:pPr>
        <w:bidi w:val="0"/>
        <w:rPr>
          <w:rFonts w:hint="eastAsia"/>
          <w:lang w:val="en-US" w:eastAsia="zh-CN"/>
        </w:rPr>
      </w:pPr>
      <w:r>
        <w:rPr>
          <w:rFonts w:hint="eastAsia"/>
          <w:lang w:val="en-US" w:eastAsia="zh-CN"/>
        </w:rPr>
        <w:t>2. 固定资产盘点</w:t>
      </w:r>
    </w:p>
    <w:p>
      <w:pPr>
        <w:bidi w:val="0"/>
        <w:rPr>
          <w:rFonts w:hint="eastAsia"/>
          <w:lang w:val="en-US" w:eastAsia="zh-CN"/>
        </w:rPr>
      </w:pPr>
      <w:r>
        <w:rPr>
          <w:rFonts w:hint="eastAsia"/>
          <w:lang w:val="en-US" w:eastAsia="zh-CN"/>
        </w:rPr>
        <w:t>（1）对单位截至到2022年12月31日和2022至2023年的所有在用、库存待用、待报废资产进行全面的清查盘点；</w:t>
      </w:r>
    </w:p>
    <w:p>
      <w:pPr>
        <w:bidi w:val="0"/>
        <w:rPr>
          <w:rFonts w:hint="eastAsia"/>
          <w:lang w:val="en-US" w:eastAsia="zh-CN"/>
        </w:rPr>
      </w:pPr>
      <w:r>
        <w:rPr>
          <w:rFonts w:hint="eastAsia"/>
          <w:lang w:val="en-US" w:eastAsia="zh-CN"/>
        </w:rPr>
        <w:t>（2）盘点实物，整理建账，生成一物一卡固定资产实物账；</w:t>
      </w:r>
    </w:p>
    <w:p>
      <w:pPr>
        <w:bidi w:val="0"/>
        <w:rPr>
          <w:rFonts w:hint="eastAsia"/>
          <w:lang w:val="en-US" w:eastAsia="zh-CN"/>
        </w:rPr>
      </w:pPr>
      <w:r>
        <w:rPr>
          <w:rFonts w:hint="eastAsia"/>
          <w:lang w:val="en-US" w:eastAsia="zh-CN"/>
        </w:rPr>
        <w:t>（3）对整理的实物账完成下发、确认、补充、收集等工作，进行二次核对；</w:t>
      </w:r>
    </w:p>
    <w:p>
      <w:pPr>
        <w:bidi w:val="0"/>
        <w:rPr>
          <w:rFonts w:hint="eastAsia"/>
          <w:lang w:val="en-US" w:eastAsia="zh-CN"/>
        </w:rPr>
      </w:pPr>
      <w:r>
        <w:rPr>
          <w:rFonts w:hint="eastAsia"/>
          <w:lang w:val="en-US" w:eastAsia="zh-CN"/>
        </w:rPr>
        <w:t>（4）按财政要求对资产进行分类整理, 做到一物一卡一条码。</w:t>
      </w:r>
    </w:p>
    <w:p>
      <w:pPr>
        <w:bidi w:val="0"/>
        <w:rPr>
          <w:rFonts w:hint="eastAsia"/>
          <w:lang w:val="en-US" w:eastAsia="zh-CN"/>
        </w:rPr>
      </w:pPr>
      <w:r>
        <w:rPr>
          <w:rFonts w:hint="eastAsia"/>
          <w:lang w:val="en-US" w:eastAsia="zh-CN"/>
        </w:rPr>
        <w:t>3. 固定资产对账</w:t>
      </w:r>
    </w:p>
    <w:p>
      <w:pPr>
        <w:bidi w:val="0"/>
        <w:rPr>
          <w:rFonts w:hint="eastAsia"/>
          <w:lang w:val="en-US" w:eastAsia="zh-CN"/>
        </w:rPr>
      </w:pPr>
      <w:r>
        <w:rPr>
          <w:rFonts w:hint="eastAsia"/>
          <w:lang w:val="en-US" w:eastAsia="zh-CN"/>
        </w:rPr>
        <w:t>（1）固定资产财务账的账实核对，整理正常固定资产财务账明细表、盘亏固定资产财务账明细表、待报废固定资产财务账明细表、盘盈资产实物明细表。</w:t>
      </w:r>
    </w:p>
    <w:p>
      <w:pPr>
        <w:bidi w:val="0"/>
        <w:rPr>
          <w:rFonts w:hint="eastAsia"/>
          <w:lang w:val="en-US" w:eastAsia="zh-CN"/>
        </w:rPr>
      </w:pPr>
      <w:r>
        <w:rPr>
          <w:rFonts w:hint="eastAsia"/>
          <w:lang w:val="en-US" w:eastAsia="zh-CN"/>
        </w:rPr>
        <w:t>（2）调整账套，确保账账相符、账实相符；</w:t>
      </w:r>
    </w:p>
    <w:p>
      <w:pPr>
        <w:bidi w:val="0"/>
        <w:rPr>
          <w:rFonts w:hint="eastAsia"/>
          <w:lang w:val="en-US" w:eastAsia="zh-CN"/>
        </w:rPr>
      </w:pPr>
      <w:r>
        <w:rPr>
          <w:rFonts w:hint="eastAsia"/>
          <w:lang w:val="en-US" w:eastAsia="zh-CN"/>
        </w:rPr>
        <w:t>（3）整理实物账及财务账，整理出使用年限到期可以申请报废资产及盘亏损坏需报废资产报表；</w:t>
      </w:r>
    </w:p>
    <w:p>
      <w:pPr>
        <w:bidi w:val="0"/>
        <w:rPr>
          <w:rFonts w:hint="eastAsia"/>
          <w:lang w:val="en-US" w:eastAsia="zh-CN"/>
        </w:rPr>
      </w:pPr>
      <w:r>
        <w:rPr>
          <w:rFonts w:hint="eastAsia"/>
          <w:lang w:val="en-US" w:eastAsia="zh-CN"/>
        </w:rPr>
        <w:t>（4）行政经费固定资产按照科室个人打印明细表，签字确认，将确认后的数据情况维护到单位固定资产管理系统中。</w:t>
      </w:r>
    </w:p>
    <w:p>
      <w:pPr>
        <w:bidi w:val="0"/>
        <w:rPr>
          <w:rFonts w:hint="eastAsia"/>
          <w:lang w:val="en-US" w:eastAsia="zh-CN"/>
        </w:rPr>
      </w:pPr>
      <w:r>
        <w:rPr>
          <w:rFonts w:hint="eastAsia"/>
          <w:lang w:val="en-US" w:eastAsia="zh-CN"/>
        </w:rPr>
        <w:t>4. 标签粘贴</w:t>
      </w:r>
    </w:p>
    <w:p>
      <w:pPr>
        <w:bidi w:val="0"/>
        <w:rPr>
          <w:rFonts w:hint="eastAsia"/>
          <w:lang w:val="en-US" w:eastAsia="zh-CN"/>
        </w:rPr>
      </w:pPr>
      <w:r>
        <w:rPr>
          <w:rFonts w:hint="eastAsia"/>
          <w:lang w:val="en-US" w:eastAsia="zh-CN"/>
        </w:rPr>
        <w:t>行政经费资产固定资产标签打印及对应实物粘贴。</w:t>
      </w:r>
    </w:p>
    <w:p>
      <w:pPr>
        <w:bidi w:val="0"/>
        <w:rPr>
          <w:rFonts w:hint="eastAsia"/>
          <w:lang w:val="en-US" w:eastAsia="zh-CN"/>
        </w:rPr>
      </w:pPr>
      <w:r>
        <w:rPr>
          <w:rFonts w:hint="eastAsia"/>
          <w:lang w:val="en-US" w:eastAsia="zh-CN"/>
        </w:rPr>
        <w:t>5.资产处置</w:t>
      </w:r>
    </w:p>
    <w:p>
      <w:pPr>
        <w:bidi w:val="0"/>
        <w:rPr>
          <w:rFonts w:hint="eastAsia"/>
          <w:lang w:val="en-US" w:eastAsia="zh-CN"/>
        </w:rPr>
      </w:pPr>
      <w:r>
        <w:rPr>
          <w:rFonts w:hint="eastAsia"/>
          <w:lang w:val="en-US" w:eastAsia="zh-CN"/>
        </w:rPr>
        <w:t>（1）协助调拨固定资产入库等；</w:t>
      </w:r>
    </w:p>
    <w:p>
      <w:pPr>
        <w:bidi w:val="0"/>
        <w:rPr>
          <w:rFonts w:hint="eastAsia"/>
          <w:lang w:val="en-US" w:eastAsia="zh-CN"/>
        </w:rPr>
      </w:pPr>
      <w:r>
        <w:rPr>
          <w:rFonts w:hint="eastAsia"/>
          <w:lang w:val="en-US" w:eastAsia="zh-CN"/>
        </w:rPr>
        <w:t>（2）协助完成固定资产报废流程报批；</w:t>
      </w:r>
    </w:p>
    <w:p>
      <w:pPr>
        <w:bidi w:val="0"/>
        <w:rPr>
          <w:rFonts w:hint="eastAsia"/>
          <w:lang w:val="en-US" w:eastAsia="zh-CN"/>
        </w:rPr>
      </w:pPr>
      <w:r>
        <w:rPr>
          <w:rFonts w:hint="eastAsia"/>
          <w:lang w:val="en-US" w:eastAsia="zh-CN"/>
        </w:rPr>
        <w:t>（3）报废固定资产完成确认及财政系统销账。</w:t>
      </w:r>
    </w:p>
    <w:p>
      <w:pPr>
        <w:bidi w:val="0"/>
        <w:rPr>
          <w:rFonts w:hint="eastAsia"/>
          <w:lang w:val="en-US" w:eastAsia="zh-CN"/>
        </w:rPr>
      </w:pPr>
      <w:r>
        <w:rPr>
          <w:rFonts w:hint="eastAsia"/>
          <w:lang w:val="en-US" w:eastAsia="zh-CN"/>
        </w:rPr>
        <w:t>6.资产管理</w:t>
      </w:r>
    </w:p>
    <w:p>
      <w:pPr>
        <w:bidi w:val="0"/>
        <w:rPr>
          <w:rFonts w:hint="eastAsia"/>
          <w:lang w:val="en-US" w:eastAsia="zh-CN"/>
        </w:rPr>
      </w:pPr>
      <w:r>
        <w:rPr>
          <w:rFonts w:hint="eastAsia"/>
          <w:lang w:val="en-US" w:eastAsia="zh-CN"/>
        </w:rPr>
        <w:t>（1）指派专人定期上门负责2022至2023年度市财政固定资产系统及单位固定资产系统的新增入库、入账工作，保证“账账相符、账实相符”。</w:t>
      </w:r>
    </w:p>
    <w:p>
      <w:pPr>
        <w:bidi w:val="0"/>
        <w:rPr>
          <w:rFonts w:hint="eastAsia"/>
          <w:lang w:val="en-US" w:eastAsia="zh-CN"/>
        </w:rPr>
      </w:pPr>
      <w:r>
        <w:rPr>
          <w:rFonts w:hint="eastAsia"/>
          <w:lang w:val="en-US" w:eastAsia="zh-CN"/>
        </w:rPr>
        <w:t>（2）协助单位完成2022年度资产上报工作。</w:t>
      </w:r>
    </w:p>
    <w:p>
      <w:pPr>
        <w:bidi w:val="0"/>
        <w:rPr>
          <w:rFonts w:hint="eastAsia" w:ascii="楷体" w:hAnsi="楷体" w:eastAsia="楷体" w:cs="楷体"/>
          <w:b/>
          <w:bCs/>
          <w:szCs w:val="28"/>
        </w:rPr>
      </w:pPr>
      <w:r>
        <w:rPr>
          <w:rFonts w:hint="eastAsia" w:ascii="楷体" w:hAnsi="楷体" w:eastAsia="楷体" w:cs="楷体"/>
          <w:b/>
          <w:bCs/>
          <w:szCs w:val="28"/>
        </w:rPr>
        <w:t>（二）项目约定完成时间</w:t>
      </w:r>
    </w:p>
    <w:p>
      <w:pPr>
        <w:bidi w:val="0"/>
        <w:rPr>
          <w:rFonts w:hint="eastAsia"/>
          <w:lang w:val="en-US" w:eastAsia="zh-CN"/>
        </w:rPr>
      </w:pPr>
      <w:r>
        <w:rPr>
          <w:rFonts w:hint="eastAsia"/>
          <w:lang w:val="en-US" w:eastAsia="zh-CN"/>
        </w:rPr>
        <w:t>自2022年11月9日至2023年11月8日为止。</w:t>
      </w:r>
    </w:p>
    <w:p>
      <w:pPr>
        <w:pStyle w:val="2"/>
        <w:spacing w:after="0" w:line="540" w:lineRule="exact"/>
        <w:ind w:firstLine="562" w:firstLineChars="200"/>
        <w:outlineLvl w:val="1"/>
        <w:rPr>
          <w:rFonts w:hint="eastAsia" w:ascii="楷体" w:hAnsi="楷体" w:eastAsia="楷体" w:cs="楷体"/>
          <w:b/>
          <w:bCs/>
          <w:sz w:val="28"/>
          <w:szCs w:val="28"/>
        </w:rPr>
      </w:pPr>
      <w:r>
        <w:rPr>
          <w:rFonts w:hint="eastAsia" w:ascii="楷体" w:hAnsi="楷体" w:eastAsia="楷体" w:cs="楷体"/>
          <w:b/>
          <w:bCs/>
          <w:sz w:val="28"/>
          <w:szCs w:val="28"/>
          <w:lang w:eastAsia="zh-CN"/>
        </w:rPr>
        <w:t>（</w:t>
      </w:r>
      <w:r>
        <w:rPr>
          <w:rFonts w:hint="eastAsia" w:ascii="楷体" w:hAnsi="楷体" w:eastAsia="楷体" w:cs="楷体"/>
          <w:b/>
          <w:bCs/>
          <w:sz w:val="28"/>
          <w:szCs w:val="28"/>
          <w:lang w:val="en-US" w:eastAsia="zh-CN"/>
        </w:rPr>
        <w:t>三</w:t>
      </w:r>
      <w:r>
        <w:rPr>
          <w:rFonts w:hint="eastAsia" w:ascii="楷体" w:hAnsi="楷体" w:eastAsia="楷体" w:cs="楷体"/>
          <w:b/>
          <w:bCs/>
          <w:sz w:val="28"/>
          <w:szCs w:val="28"/>
          <w:lang w:eastAsia="zh-CN"/>
        </w:rPr>
        <w:t>）</w:t>
      </w:r>
      <w:r>
        <w:rPr>
          <w:rFonts w:hint="eastAsia" w:ascii="楷体" w:hAnsi="楷体" w:eastAsia="楷体" w:cs="楷体"/>
          <w:b/>
          <w:bCs/>
          <w:sz w:val="28"/>
          <w:szCs w:val="28"/>
        </w:rPr>
        <w:t>项目约定成果</w:t>
      </w:r>
    </w:p>
    <w:p>
      <w:pPr>
        <w:bidi w:val="0"/>
        <w:rPr>
          <w:rFonts w:hint="eastAsia" w:ascii="仿宋_GB2312" w:hAnsi="仿宋_GB2312" w:eastAsia="仿宋_GB2312" w:cs="仿宋_GB2312"/>
          <w:sz w:val="28"/>
          <w:szCs w:val="28"/>
          <w:lang w:val="en-US"/>
        </w:rPr>
      </w:pPr>
      <w:r>
        <w:rPr>
          <w:rFonts w:hint="eastAsia"/>
          <w:lang w:val="en-US" w:eastAsia="zh-CN"/>
        </w:rPr>
        <w:t>盘点表、资产清查报表、固定资产报废清单、资产上报报表等工作成果通过甲方审查验收。</w:t>
      </w:r>
    </w:p>
    <w:p>
      <w:pPr>
        <w:spacing w:line="360" w:lineRule="auto"/>
        <w:ind w:firstLine="672" w:firstLineChars="200"/>
        <w:outlineLvl w:val="0"/>
        <w:rPr>
          <w:rFonts w:hint="eastAsia" w:ascii="黑体" w:hAnsi="黑体" w:eastAsia="黑体" w:cs="黑体"/>
          <w:spacing w:val="8"/>
          <w:sz w:val="32"/>
          <w:szCs w:val="32"/>
        </w:rPr>
      </w:pPr>
      <w:r>
        <w:rPr>
          <w:rFonts w:hint="eastAsia" w:ascii="黑体" w:hAnsi="黑体" w:eastAsia="黑体" w:cs="黑体"/>
          <w:spacing w:val="8"/>
          <w:sz w:val="32"/>
          <w:szCs w:val="32"/>
        </w:rPr>
        <w:t>二、项目完成情况</w:t>
      </w:r>
    </w:p>
    <w:p>
      <w:pPr>
        <w:pStyle w:val="2"/>
        <w:spacing w:after="0" w:line="540" w:lineRule="exact"/>
        <w:ind w:firstLine="562" w:firstLineChars="200"/>
        <w:outlineLvl w:val="1"/>
        <w:rPr>
          <w:rFonts w:hint="eastAsia" w:ascii="楷体" w:hAnsi="楷体" w:eastAsia="楷体" w:cs="楷体"/>
          <w:b/>
          <w:bCs/>
          <w:sz w:val="28"/>
          <w:szCs w:val="28"/>
        </w:rPr>
      </w:pPr>
      <w:r>
        <w:rPr>
          <w:rFonts w:hint="eastAsia" w:ascii="楷体" w:hAnsi="楷体" w:eastAsia="楷体" w:cs="楷体"/>
          <w:b/>
          <w:bCs/>
          <w:sz w:val="28"/>
          <w:szCs w:val="28"/>
        </w:rPr>
        <w:t>（一）开展形式</w:t>
      </w:r>
    </w:p>
    <w:p>
      <w:pPr>
        <w:bidi w:val="0"/>
        <w:rPr>
          <w:rFonts w:hint="eastAsia"/>
        </w:rPr>
      </w:pPr>
      <w:r>
        <w:rPr>
          <w:rFonts w:hint="eastAsia"/>
        </w:rPr>
        <w:t>现场支持，乙方负责在深圳市规划和自然资源局龙岗管理局提供经常性技术支持、用户操作辅导和快速反应现场优质服务。</w:t>
      </w:r>
    </w:p>
    <w:p>
      <w:pPr>
        <w:pStyle w:val="2"/>
        <w:spacing w:after="0" w:line="540" w:lineRule="exact"/>
        <w:ind w:firstLine="562" w:firstLineChars="200"/>
        <w:outlineLvl w:val="1"/>
        <w:rPr>
          <w:rFonts w:hint="eastAsia" w:ascii="楷体" w:hAnsi="楷体" w:eastAsia="楷体" w:cs="楷体"/>
          <w:b/>
          <w:bCs/>
          <w:sz w:val="28"/>
          <w:szCs w:val="28"/>
        </w:rPr>
      </w:pPr>
      <w:r>
        <w:rPr>
          <w:rFonts w:hint="eastAsia" w:ascii="楷体" w:hAnsi="楷体" w:eastAsia="楷体" w:cs="楷体"/>
          <w:b/>
          <w:bCs/>
          <w:sz w:val="28"/>
          <w:szCs w:val="28"/>
        </w:rPr>
        <w:t>（二）人员投入</w:t>
      </w:r>
    </w:p>
    <w:p>
      <w:pPr>
        <w:bidi w:val="0"/>
        <w:rPr>
          <w:rFonts w:hint="eastAsia"/>
          <w:lang w:eastAsia="zh-CN"/>
        </w:rPr>
      </w:pPr>
      <w:r>
        <w:rPr>
          <w:rFonts w:hint="eastAsia"/>
          <w:lang w:val="en-US" w:eastAsia="zh-CN"/>
        </w:rPr>
        <w:t>一名实施工程师在现场提供服务。</w:t>
      </w:r>
    </w:p>
    <w:p>
      <w:pPr>
        <w:pStyle w:val="2"/>
        <w:keepNext w:val="0"/>
        <w:keepLines w:val="0"/>
        <w:pageBreakBefore w:val="0"/>
        <w:widowControl w:val="0"/>
        <w:kinsoku/>
        <w:wordWrap/>
        <w:overflowPunct/>
        <w:topLinePunct w:val="0"/>
        <w:autoSpaceDE/>
        <w:autoSpaceDN/>
        <w:bidi w:val="0"/>
        <w:adjustRightInd/>
        <w:snapToGrid/>
        <w:spacing w:after="0" w:line="540" w:lineRule="exact"/>
        <w:ind w:firstLine="562" w:firstLineChars="200"/>
        <w:textAlignment w:val="auto"/>
        <w:outlineLvl w:val="1"/>
        <w:rPr>
          <w:rFonts w:hint="eastAsia" w:ascii="仿宋_GB2312" w:hAnsi="仿宋_GB2312" w:eastAsia="仿宋_GB2312" w:cs="仿宋_GB2312"/>
        </w:rPr>
      </w:pPr>
      <w:r>
        <w:rPr>
          <w:rFonts w:hint="eastAsia" w:ascii="楷体" w:hAnsi="楷体" w:eastAsia="楷体" w:cs="楷体"/>
          <w:b/>
          <w:bCs/>
          <w:sz w:val="28"/>
          <w:szCs w:val="28"/>
          <w:lang w:eastAsia="zh-CN"/>
        </w:rPr>
        <w:t>（</w:t>
      </w:r>
      <w:r>
        <w:rPr>
          <w:rFonts w:hint="eastAsia" w:ascii="楷体" w:hAnsi="楷体" w:eastAsia="楷体" w:cs="楷体"/>
          <w:b/>
          <w:bCs/>
          <w:sz w:val="28"/>
          <w:szCs w:val="28"/>
          <w:lang w:val="en-US" w:eastAsia="zh-CN"/>
        </w:rPr>
        <w:t>三</w:t>
      </w:r>
      <w:r>
        <w:rPr>
          <w:rFonts w:hint="eastAsia" w:ascii="楷体" w:hAnsi="楷体" w:eastAsia="楷体" w:cs="楷体"/>
          <w:b/>
          <w:bCs/>
          <w:sz w:val="28"/>
          <w:szCs w:val="28"/>
          <w:lang w:eastAsia="zh-CN"/>
        </w:rPr>
        <w:t>）</w:t>
      </w:r>
      <w:r>
        <w:rPr>
          <w:rFonts w:hint="eastAsia" w:ascii="楷体" w:hAnsi="楷体" w:eastAsia="楷体" w:cs="楷体"/>
          <w:b/>
          <w:bCs/>
          <w:sz w:val="28"/>
          <w:szCs w:val="28"/>
        </w:rPr>
        <w:t>完成时间</w:t>
      </w:r>
    </w:p>
    <w:p>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一年，</w:t>
      </w:r>
      <w:r>
        <w:rPr>
          <w:rFonts w:hint="eastAsia"/>
          <w:lang w:val="en-US" w:eastAsia="zh-CN"/>
        </w:rPr>
        <w:t>自2022年11月9日至2023年11月8日为止。</w:t>
      </w:r>
    </w:p>
    <w:p>
      <w:pPr>
        <w:pStyle w:val="2"/>
        <w:spacing w:after="0" w:line="540" w:lineRule="exact"/>
        <w:ind w:firstLine="562" w:firstLineChars="200"/>
        <w:outlineLvl w:val="1"/>
        <w:rPr>
          <w:rFonts w:hint="eastAsia" w:ascii="楷体" w:hAnsi="楷体" w:eastAsia="楷体" w:cs="楷体"/>
          <w:b/>
          <w:bCs/>
          <w:sz w:val="28"/>
          <w:szCs w:val="28"/>
        </w:rPr>
      </w:pPr>
      <w:r>
        <w:rPr>
          <w:rFonts w:hint="eastAsia" w:ascii="楷体" w:hAnsi="楷体" w:eastAsia="楷体" w:cs="楷体"/>
          <w:b/>
          <w:bCs/>
          <w:sz w:val="28"/>
          <w:szCs w:val="28"/>
          <w:lang w:eastAsia="zh-CN"/>
        </w:rPr>
        <w:t>（</w:t>
      </w:r>
      <w:r>
        <w:rPr>
          <w:rFonts w:hint="eastAsia" w:ascii="楷体" w:hAnsi="楷体" w:eastAsia="楷体" w:cs="楷体"/>
          <w:b/>
          <w:bCs/>
          <w:sz w:val="28"/>
          <w:szCs w:val="28"/>
          <w:lang w:val="en-US" w:eastAsia="zh-CN"/>
        </w:rPr>
        <w:t>四</w:t>
      </w:r>
      <w:r>
        <w:rPr>
          <w:rFonts w:hint="eastAsia" w:ascii="楷体" w:hAnsi="楷体" w:eastAsia="楷体" w:cs="楷体"/>
          <w:b/>
          <w:bCs/>
          <w:sz w:val="28"/>
          <w:szCs w:val="28"/>
          <w:lang w:eastAsia="zh-CN"/>
        </w:rPr>
        <w:t>）</w:t>
      </w:r>
      <w:r>
        <w:rPr>
          <w:rFonts w:hint="eastAsia" w:ascii="楷体" w:hAnsi="楷体" w:eastAsia="楷体" w:cs="楷体"/>
          <w:b/>
          <w:bCs/>
          <w:sz w:val="28"/>
          <w:szCs w:val="28"/>
        </w:rPr>
        <w:t>完成成果</w:t>
      </w:r>
    </w:p>
    <w:p>
      <w:pPr>
        <w:spacing w:line="54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color w:val="auto"/>
          <w:kern w:val="2"/>
          <w:sz w:val="28"/>
          <w:szCs w:val="28"/>
          <w:lang w:val="en-US" w:eastAsia="zh-CN" w:bidi="ar-SA"/>
        </w:rPr>
        <w:t>盘点表、资产清查报表、固定资产报废清单、资产上报报表。</w:t>
      </w:r>
    </w:p>
    <w:p>
      <w:pPr>
        <w:spacing w:line="360" w:lineRule="auto"/>
        <w:ind w:firstLine="672" w:firstLineChars="200"/>
        <w:outlineLvl w:val="0"/>
        <w:rPr>
          <w:rFonts w:hint="eastAsia" w:ascii="黑体" w:hAnsi="黑体" w:eastAsia="黑体" w:cs="黑体"/>
          <w:spacing w:val="8"/>
          <w:sz w:val="32"/>
          <w:szCs w:val="32"/>
          <w:lang w:val="en-US" w:eastAsia="zh-CN"/>
        </w:rPr>
      </w:pPr>
      <w:r>
        <w:rPr>
          <w:rFonts w:hint="eastAsia" w:ascii="黑体" w:hAnsi="黑体" w:eastAsia="黑体" w:cs="黑体"/>
          <w:spacing w:val="8"/>
          <w:sz w:val="32"/>
          <w:szCs w:val="32"/>
          <w:lang w:val="en-US" w:eastAsia="zh-CN"/>
        </w:rPr>
        <w:t>三、项目完成情况评价</w:t>
      </w:r>
    </w:p>
    <w:p>
      <w:pPr>
        <w:bidi w:val="0"/>
        <w:rPr>
          <w:rFonts w:hint="eastAsia"/>
          <w:lang w:val="en-US" w:eastAsia="zh-CN"/>
        </w:rPr>
      </w:pPr>
      <w:r>
        <w:rPr>
          <w:rFonts w:hint="eastAsia"/>
          <w:lang w:val="en-US" w:eastAsia="zh-CN"/>
        </w:rPr>
        <w:t>深圳市金政软件技术有限公司与我局于2022年11月9日签订的《</w:t>
      </w:r>
      <w:r>
        <w:rPr>
          <w:rFonts w:hint="eastAsia"/>
        </w:rPr>
        <w:t>2022-2023年固定资产清查盘点技术服务</w:t>
      </w:r>
      <w:r>
        <w:rPr>
          <w:rFonts w:hint="eastAsia"/>
          <w:lang w:val="en-US" w:eastAsia="zh-CN"/>
        </w:rPr>
        <w:t>合同》。在服务期内，已按合同约定相关要求按时按质按量完成了各项任务，输出各类成果均符合我单位要求。整体履约评价优秀。</w:t>
      </w:r>
    </w:p>
    <w:p>
      <w:pPr>
        <w:numPr>
          <w:ilvl w:val="0"/>
          <w:numId w:val="1"/>
        </w:numPr>
        <w:spacing w:line="360" w:lineRule="auto"/>
        <w:ind w:firstLine="672" w:firstLineChars="200"/>
        <w:outlineLvl w:val="0"/>
        <w:rPr>
          <w:rFonts w:hint="eastAsia" w:ascii="黑体" w:hAnsi="黑体" w:eastAsia="黑体" w:cs="黑体"/>
          <w:spacing w:val="8"/>
          <w:sz w:val="32"/>
          <w:szCs w:val="32"/>
          <w:lang w:val="en-US" w:eastAsia="zh-CN"/>
        </w:rPr>
      </w:pPr>
      <w:r>
        <w:rPr>
          <w:rFonts w:hint="eastAsia" w:ascii="黑体" w:hAnsi="黑体" w:eastAsia="黑体" w:cs="黑体"/>
          <w:spacing w:val="8"/>
          <w:sz w:val="32"/>
          <w:szCs w:val="32"/>
          <w:lang w:val="en-US" w:eastAsia="zh-CN"/>
        </w:rPr>
        <w:t>项目绩效自评</w:t>
      </w:r>
    </w:p>
    <w:tbl>
      <w:tblPr>
        <w:tblStyle w:val="6"/>
        <w:tblW w:w="8265" w:type="dxa"/>
        <w:tblInd w:w="0" w:type="dxa"/>
        <w:shd w:val="clear" w:color="auto" w:fill="auto"/>
        <w:tblLayout w:type="fixed"/>
        <w:tblCellMar>
          <w:top w:w="0" w:type="dxa"/>
          <w:left w:w="0" w:type="dxa"/>
          <w:bottom w:w="0" w:type="dxa"/>
          <w:right w:w="0" w:type="dxa"/>
        </w:tblCellMar>
      </w:tblPr>
      <w:tblGrid>
        <w:gridCol w:w="929"/>
        <w:gridCol w:w="1091"/>
        <w:gridCol w:w="1800"/>
        <w:gridCol w:w="1200"/>
        <w:gridCol w:w="750"/>
        <w:gridCol w:w="2495"/>
      </w:tblGrid>
      <w:tr>
        <w:tblPrEx>
          <w:shd w:val="clear" w:color="auto" w:fill="auto"/>
          <w:tblCellMar>
            <w:top w:w="0" w:type="dxa"/>
            <w:left w:w="0" w:type="dxa"/>
            <w:bottom w:w="0" w:type="dxa"/>
            <w:right w:w="0" w:type="dxa"/>
          </w:tblCellMar>
        </w:tblPrEx>
        <w:trPr>
          <w:trHeight w:val="510" w:hRule="atLeast"/>
        </w:trPr>
        <w:tc>
          <w:tcPr>
            <w:tcW w:w="826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rPr>
              <w:t>运营项目绩效目标</w:t>
            </w:r>
          </w:p>
        </w:tc>
      </w:tr>
      <w:tr>
        <w:tblPrEx>
          <w:shd w:val="clear" w:color="auto" w:fill="auto"/>
          <w:tblCellMar>
            <w:top w:w="0" w:type="dxa"/>
            <w:left w:w="0" w:type="dxa"/>
            <w:bottom w:w="0" w:type="dxa"/>
            <w:right w:w="0" w:type="dxa"/>
          </w:tblCellMar>
        </w:tblPrEx>
        <w:trPr>
          <w:trHeight w:val="66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一级指标</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三级指标</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指标值</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自评</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指标解释</w:t>
            </w:r>
          </w:p>
        </w:tc>
      </w:tr>
      <w:tr>
        <w:tblPrEx>
          <w:shd w:val="clear" w:color="auto" w:fill="auto"/>
          <w:tblCellMar>
            <w:top w:w="0" w:type="dxa"/>
            <w:left w:w="0" w:type="dxa"/>
            <w:bottom w:w="0" w:type="dxa"/>
            <w:right w:w="0" w:type="dxa"/>
          </w:tblCellMar>
        </w:tblPrEx>
        <w:trPr>
          <w:trHeight w:val="680" w:hRule="atLeast"/>
        </w:trPr>
        <w:tc>
          <w:tcPr>
            <w:tcW w:w="9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产出</w:t>
            </w:r>
          </w:p>
        </w:tc>
        <w:tc>
          <w:tcPr>
            <w:tcW w:w="1091"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数量</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驻场出勤率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≥95%</w:t>
            </w:r>
          </w:p>
        </w:tc>
        <w:tc>
          <w:tcPr>
            <w:tcW w:w="75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98%</w:t>
            </w:r>
          </w:p>
        </w:tc>
        <w:tc>
          <w:tcPr>
            <w:tcW w:w="249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考察驻场人员出勤情况。</w:t>
            </w:r>
          </w:p>
        </w:tc>
      </w:tr>
      <w:tr>
        <w:tblPrEx>
          <w:shd w:val="clear" w:color="auto" w:fill="auto"/>
          <w:tblCellMar>
            <w:top w:w="0" w:type="dxa"/>
            <w:left w:w="0" w:type="dxa"/>
            <w:bottom w:w="0" w:type="dxa"/>
            <w:right w:w="0" w:type="dxa"/>
          </w:tblCellMar>
        </w:tblPrEx>
        <w:trPr>
          <w:trHeight w:val="780" w:hRule="atLeast"/>
        </w:trPr>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091"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质量</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资产报表数据准确性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＜1%</w:t>
            </w:r>
          </w:p>
        </w:tc>
        <w:tc>
          <w:tcPr>
            <w:tcW w:w="75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100%</w:t>
            </w:r>
          </w:p>
        </w:tc>
        <w:tc>
          <w:tcPr>
            <w:tcW w:w="249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考察运维人员使用电话呼损情况。</w:t>
            </w:r>
          </w:p>
        </w:tc>
      </w:tr>
      <w:tr>
        <w:tblPrEx>
          <w:shd w:val="clear" w:color="auto" w:fill="auto"/>
          <w:tblCellMar>
            <w:top w:w="0" w:type="dxa"/>
            <w:left w:w="0" w:type="dxa"/>
            <w:bottom w:w="0" w:type="dxa"/>
            <w:right w:w="0" w:type="dxa"/>
          </w:tblCellMar>
        </w:tblPrEx>
        <w:trPr>
          <w:trHeight w:val="660" w:hRule="atLeast"/>
        </w:trPr>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091"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时效</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用户待跟进问题24小时内回复</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超时次数≤0次</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0次</w:t>
            </w:r>
          </w:p>
        </w:tc>
        <w:tc>
          <w:tcPr>
            <w:tcW w:w="2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考察用户问题回复时效性。</w:t>
            </w:r>
          </w:p>
        </w:tc>
      </w:tr>
      <w:tr>
        <w:tblPrEx>
          <w:shd w:val="clear" w:color="auto" w:fill="auto"/>
          <w:tblCellMar>
            <w:top w:w="0" w:type="dxa"/>
            <w:left w:w="0" w:type="dxa"/>
            <w:bottom w:w="0" w:type="dxa"/>
            <w:right w:w="0" w:type="dxa"/>
          </w:tblCellMar>
        </w:tblPrEx>
        <w:trPr>
          <w:trHeight w:val="660" w:hRule="atLeast"/>
        </w:trPr>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成本</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成本控制率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≤100%</w:t>
            </w:r>
          </w:p>
        </w:tc>
        <w:tc>
          <w:tcPr>
            <w:tcW w:w="75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100%</w:t>
            </w:r>
          </w:p>
        </w:tc>
        <w:tc>
          <w:tcPr>
            <w:tcW w:w="249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考察本项目实施成本控制情况是否小于总成本。</w:t>
            </w:r>
          </w:p>
        </w:tc>
      </w:tr>
      <w:tr>
        <w:tblPrEx>
          <w:shd w:val="clear" w:color="auto" w:fill="auto"/>
          <w:tblCellMar>
            <w:top w:w="0" w:type="dxa"/>
            <w:left w:w="0" w:type="dxa"/>
            <w:bottom w:w="0" w:type="dxa"/>
            <w:right w:w="0" w:type="dxa"/>
          </w:tblCellMar>
        </w:tblPrEx>
        <w:trPr>
          <w:trHeight w:val="660" w:hRule="atLeast"/>
        </w:trPr>
        <w:tc>
          <w:tcPr>
            <w:tcW w:w="9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效益</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经济效益</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不适用</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不适用</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rPr>
              <w:t>不</w:t>
            </w:r>
            <w:r>
              <w:rPr>
                <w:rFonts w:hint="eastAsia" w:ascii="仿宋_GB2312" w:hAnsi="仿宋_GB2312" w:eastAsia="仿宋_GB2312" w:cs="仿宋_GB2312"/>
                <w:i w:val="0"/>
                <w:color w:val="000000"/>
                <w:kern w:val="0"/>
                <w:sz w:val="24"/>
                <w:szCs w:val="24"/>
                <w:u w:val="none"/>
                <w:lang w:val="en-US" w:eastAsia="zh-CN"/>
              </w:rPr>
              <w:t>适用</w:t>
            </w:r>
          </w:p>
        </w:tc>
        <w:tc>
          <w:tcPr>
            <w:tcW w:w="249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不适用</w:t>
            </w:r>
          </w:p>
        </w:tc>
      </w:tr>
      <w:tr>
        <w:tblPrEx>
          <w:shd w:val="clear" w:color="auto" w:fill="auto"/>
          <w:tblCellMar>
            <w:top w:w="0" w:type="dxa"/>
            <w:left w:w="0" w:type="dxa"/>
            <w:bottom w:w="0" w:type="dxa"/>
            <w:right w:w="0" w:type="dxa"/>
          </w:tblCellMar>
        </w:tblPrEx>
        <w:trPr>
          <w:trHeight w:val="660" w:hRule="atLeast"/>
        </w:trPr>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091"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社会效益</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固定资产管理工作正常运行</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正常</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正常</w:t>
            </w:r>
          </w:p>
        </w:tc>
        <w:tc>
          <w:tcPr>
            <w:tcW w:w="249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考察项目实施后，是否有效保障平台稳定运行。</w:t>
            </w:r>
          </w:p>
        </w:tc>
      </w:tr>
      <w:tr>
        <w:tblPrEx>
          <w:shd w:val="clear" w:color="auto" w:fill="auto"/>
          <w:tblCellMar>
            <w:top w:w="0" w:type="dxa"/>
            <w:left w:w="0" w:type="dxa"/>
            <w:bottom w:w="0" w:type="dxa"/>
            <w:right w:w="0" w:type="dxa"/>
          </w:tblCellMar>
        </w:tblPrEx>
        <w:trPr>
          <w:trHeight w:val="660" w:hRule="atLeast"/>
        </w:trPr>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091"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left"/>
              <w:rPr>
                <w:rFonts w:hint="eastAsia" w:ascii="仿宋_GB2312" w:hAnsi="仿宋_GB2312" w:eastAsia="仿宋_GB2312" w:cs="仿宋_GB2312"/>
                <w:i w:val="0"/>
                <w:color w:val="000000"/>
                <w:sz w:val="24"/>
                <w:szCs w:val="24"/>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固定资产系统运维有效开展</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有效</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有效</w:t>
            </w:r>
          </w:p>
        </w:tc>
        <w:tc>
          <w:tcPr>
            <w:tcW w:w="249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考察项目实施后，系统运维工作是否有效开展</w:t>
            </w:r>
          </w:p>
        </w:tc>
      </w:tr>
      <w:tr>
        <w:tblPrEx>
          <w:tblCellMar>
            <w:top w:w="0" w:type="dxa"/>
            <w:left w:w="0" w:type="dxa"/>
            <w:bottom w:w="0" w:type="dxa"/>
            <w:right w:w="0" w:type="dxa"/>
          </w:tblCellMar>
        </w:tblPrEx>
        <w:trPr>
          <w:trHeight w:val="660" w:hRule="atLeast"/>
        </w:trPr>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091"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left"/>
              <w:rPr>
                <w:rFonts w:hint="eastAsia" w:ascii="仿宋_GB2312" w:hAnsi="仿宋_GB2312" w:eastAsia="仿宋_GB2312" w:cs="仿宋_GB2312"/>
                <w:i w:val="0"/>
                <w:color w:val="000000"/>
                <w:sz w:val="24"/>
                <w:szCs w:val="24"/>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固定资产流程清晰明确</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清晰</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清晰</w:t>
            </w:r>
          </w:p>
        </w:tc>
        <w:tc>
          <w:tcPr>
            <w:tcW w:w="249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考察项目实施后，固定资产流程是否清晰明确</w:t>
            </w:r>
          </w:p>
        </w:tc>
      </w:tr>
      <w:tr>
        <w:tblPrEx>
          <w:tblCellMar>
            <w:top w:w="0" w:type="dxa"/>
            <w:left w:w="0" w:type="dxa"/>
            <w:bottom w:w="0" w:type="dxa"/>
            <w:right w:w="0" w:type="dxa"/>
          </w:tblCellMar>
        </w:tblPrEx>
        <w:trPr>
          <w:trHeight w:val="660" w:hRule="atLeast"/>
        </w:trPr>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091"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left"/>
              <w:rPr>
                <w:rFonts w:hint="eastAsia" w:ascii="仿宋_GB2312" w:hAnsi="仿宋_GB2312" w:eastAsia="仿宋_GB2312" w:cs="仿宋_GB2312"/>
                <w:i w:val="0"/>
                <w:color w:val="000000"/>
                <w:sz w:val="24"/>
                <w:szCs w:val="24"/>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有效协助项目负责人推进固定资产工作</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有效</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有效</w:t>
            </w:r>
          </w:p>
        </w:tc>
        <w:tc>
          <w:tcPr>
            <w:tcW w:w="249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考察项目实施后，项目是否有效推进</w:t>
            </w:r>
          </w:p>
        </w:tc>
      </w:tr>
      <w:tr>
        <w:tblPrEx>
          <w:tblCellMar>
            <w:top w:w="0" w:type="dxa"/>
            <w:left w:w="0" w:type="dxa"/>
            <w:bottom w:w="0" w:type="dxa"/>
            <w:right w:w="0" w:type="dxa"/>
          </w:tblCellMar>
        </w:tblPrEx>
        <w:trPr>
          <w:trHeight w:val="660" w:hRule="atLeast"/>
        </w:trPr>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生态效益</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不适用</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不适用</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不适用</w:t>
            </w:r>
          </w:p>
        </w:tc>
        <w:tc>
          <w:tcPr>
            <w:tcW w:w="249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不适用</w:t>
            </w:r>
          </w:p>
        </w:tc>
      </w:tr>
      <w:tr>
        <w:tblPrEx>
          <w:tblCellMar>
            <w:top w:w="0" w:type="dxa"/>
            <w:left w:w="0" w:type="dxa"/>
            <w:bottom w:w="0" w:type="dxa"/>
            <w:right w:w="0" w:type="dxa"/>
          </w:tblCellMar>
        </w:tblPrEx>
        <w:trPr>
          <w:trHeight w:val="660" w:hRule="atLeast"/>
        </w:trPr>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可持续影响</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不适用</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不适用</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不适用</w:t>
            </w:r>
          </w:p>
        </w:tc>
        <w:tc>
          <w:tcPr>
            <w:tcW w:w="249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不适用</w:t>
            </w:r>
          </w:p>
        </w:tc>
      </w:tr>
      <w:tr>
        <w:tblPrEx>
          <w:tblCellMar>
            <w:top w:w="0" w:type="dxa"/>
            <w:left w:w="0" w:type="dxa"/>
            <w:bottom w:w="0" w:type="dxa"/>
            <w:right w:w="0" w:type="dxa"/>
          </w:tblCellMar>
        </w:tblPrEx>
        <w:trPr>
          <w:trHeight w:val="660" w:hRule="atLeast"/>
        </w:trPr>
        <w:tc>
          <w:tcPr>
            <w:tcW w:w="9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满意度</w:t>
            </w:r>
          </w:p>
        </w:tc>
        <w:tc>
          <w:tcPr>
            <w:tcW w:w="10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服务对象满意度</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客户满意度</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≥90%</w:t>
            </w:r>
          </w:p>
        </w:tc>
        <w:tc>
          <w:tcPr>
            <w:tcW w:w="75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100%</w:t>
            </w:r>
          </w:p>
        </w:tc>
        <w:tc>
          <w:tcPr>
            <w:tcW w:w="249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考察项目实施后客户的满意度情况。</w:t>
            </w:r>
          </w:p>
        </w:tc>
      </w:tr>
      <w:tr>
        <w:tblPrEx>
          <w:tblCellMar>
            <w:top w:w="0" w:type="dxa"/>
            <w:left w:w="0" w:type="dxa"/>
            <w:bottom w:w="0" w:type="dxa"/>
            <w:right w:w="0" w:type="dxa"/>
          </w:tblCellMar>
        </w:tblPrEx>
        <w:trPr>
          <w:trHeight w:val="660" w:hRule="atLeast"/>
        </w:trPr>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_GB2312" w:hAnsi="仿宋_GB2312" w:eastAsia="仿宋_GB2312" w:cs="仿宋_GB2312"/>
                <w:i w:val="0"/>
                <w:color w:val="000000"/>
                <w:sz w:val="24"/>
                <w:szCs w:val="24"/>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_GB2312" w:hAnsi="仿宋_GB2312" w:eastAsia="仿宋_GB2312" w:cs="仿宋_GB2312"/>
                <w:i w:val="0"/>
                <w:color w:val="000000"/>
                <w:sz w:val="24"/>
                <w:szCs w:val="24"/>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客户投诉率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＜1%</w:t>
            </w:r>
          </w:p>
        </w:tc>
        <w:tc>
          <w:tcPr>
            <w:tcW w:w="75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0%</w:t>
            </w:r>
          </w:p>
        </w:tc>
        <w:tc>
          <w:tcPr>
            <w:tcW w:w="249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rPr>
              <w:t>考察项目实施过程中客户投诉情况。</w:t>
            </w:r>
          </w:p>
        </w:tc>
      </w:tr>
    </w:tbl>
    <w:p>
      <w:pPr>
        <w:pStyle w:val="2"/>
        <w:numPr>
          <w:ilvl w:val="0"/>
          <w:numId w:val="0"/>
        </w:numPr>
        <w:rPr>
          <w:rFonts w:hint="eastAsia"/>
          <w:lang w:val="en-US" w:eastAsia="zh-CN"/>
        </w:rPr>
      </w:pPr>
    </w:p>
    <w:p>
      <w:pPr>
        <w:spacing w:line="360" w:lineRule="auto"/>
        <w:ind w:firstLine="672" w:firstLineChars="200"/>
        <w:outlineLvl w:val="0"/>
        <w:rPr>
          <w:rFonts w:hint="eastAsia" w:ascii="黑体" w:hAnsi="黑体" w:eastAsia="黑体" w:cs="黑体"/>
          <w:spacing w:val="8"/>
          <w:sz w:val="32"/>
          <w:szCs w:val="32"/>
          <w:lang w:val="en-US"/>
        </w:rPr>
      </w:pPr>
      <w:r>
        <w:rPr>
          <w:rFonts w:hint="eastAsia" w:ascii="黑体" w:hAnsi="黑体" w:eastAsia="黑体" w:cs="黑体"/>
          <w:spacing w:val="8"/>
          <w:sz w:val="32"/>
          <w:szCs w:val="32"/>
          <w:lang w:val="en-US" w:eastAsia="zh-CN"/>
        </w:rPr>
        <w:t>五</w:t>
      </w:r>
      <w:r>
        <w:rPr>
          <w:rFonts w:hint="eastAsia" w:ascii="黑体" w:hAnsi="黑体" w:eastAsia="黑体" w:cs="黑体"/>
          <w:spacing w:val="8"/>
          <w:sz w:val="32"/>
          <w:szCs w:val="32"/>
          <w:lang w:val="en-US"/>
        </w:rPr>
        <w:t>、售后服务情况</w:t>
      </w:r>
    </w:p>
    <w:p>
      <w:pPr>
        <w:pStyle w:val="2"/>
        <w:keepNext w:val="0"/>
        <w:keepLines w:val="0"/>
        <w:pageBreakBefore w:val="0"/>
        <w:widowControl w:val="0"/>
        <w:kinsoku/>
        <w:wordWrap/>
        <w:overflowPunct/>
        <w:topLinePunct w:val="0"/>
        <w:autoSpaceDE/>
        <w:autoSpaceDN/>
        <w:bidi w:val="0"/>
        <w:adjustRightInd/>
        <w:snapToGrid/>
        <w:spacing w:after="0"/>
        <w:ind w:firstLine="560" w:firstLineChars="200"/>
        <w:textAlignment w:val="auto"/>
        <w:rPr>
          <w:rFonts w:hint="eastAsia" w:ascii="仿宋_GB2312" w:hAnsi="仿宋_GB2312" w:eastAsia="仿宋_GB2312" w:cs="仿宋_GB2312"/>
        </w:rPr>
      </w:pPr>
      <w:r>
        <w:rPr>
          <w:rFonts w:hint="eastAsia" w:ascii="仿宋_GB2312" w:hAnsi="仿宋_GB2312" w:eastAsia="仿宋_GB2312" w:cs="仿宋_GB2312"/>
          <w:sz w:val="28"/>
          <w:szCs w:val="28"/>
          <w:lang w:val="en-US" w:eastAsia="zh-CN"/>
        </w:rPr>
        <w:t>我单位于2022年</w:t>
      </w:r>
      <w:r>
        <w:rPr>
          <w:rFonts w:hint="eastAsia" w:ascii="仿宋_GB2312" w:hAnsi="仿宋_GB2312" w:cs="仿宋_GB2312"/>
          <w:sz w:val="28"/>
          <w:szCs w:val="28"/>
          <w:lang w:val="en-US" w:eastAsia="zh-CN"/>
        </w:rPr>
        <w:t>11</w:t>
      </w:r>
      <w:r>
        <w:rPr>
          <w:rFonts w:hint="eastAsia" w:ascii="仿宋_GB2312" w:hAnsi="仿宋_GB2312" w:eastAsia="仿宋_GB2312" w:cs="仿宋_GB2312"/>
          <w:sz w:val="28"/>
          <w:szCs w:val="28"/>
          <w:lang w:val="en-US" w:eastAsia="zh-CN"/>
        </w:rPr>
        <w:t>月</w:t>
      </w:r>
      <w:r>
        <w:rPr>
          <w:rFonts w:hint="eastAsia" w:ascii="仿宋_GB2312" w:hAnsi="仿宋_GB2312" w:cs="仿宋_GB2312"/>
          <w:sz w:val="28"/>
          <w:szCs w:val="28"/>
          <w:lang w:val="en-US" w:eastAsia="zh-CN"/>
        </w:rPr>
        <w:t>9</w:t>
      </w:r>
      <w:r>
        <w:rPr>
          <w:rFonts w:hint="eastAsia" w:ascii="仿宋_GB2312" w:hAnsi="仿宋_GB2312" w:eastAsia="仿宋_GB2312" w:cs="仿宋_GB2312"/>
          <w:sz w:val="28"/>
          <w:szCs w:val="28"/>
          <w:lang w:val="en-US" w:eastAsia="zh-CN"/>
        </w:rPr>
        <w:t>日</w:t>
      </w:r>
      <w:r>
        <w:rPr>
          <w:rFonts w:hint="eastAsia" w:ascii="仿宋_GB2312" w:hAnsi="仿宋_GB2312" w:eastAsia="仿宋_GB2312" w:cs="仿宋_GB2312"/>
          <w:sz w:val="28"/>
          <w:szCs w:val="28"/>
          <w:lang w:eastAsia="zh-CN"/>
        </w:rPr>
        <w:t>与深圳市规划和自然资源局龙岗管理局</w:t>
      </w:r>
      <w:r>
        <w:rPr>
          <w:rFonts w:hint="eastAsia" w:ascii="仿宋_GB2312" w:hAnsi="仿宋_GB2312" w:eastAsia="仿宋_GB2312" w:cs="仿宋_GB2312"/>
          <w:sz w:val="28"/>
          <w:szCs w:val="28"/>
        </w:rPr>
        <w:t>签订《</w:t>
      </w:r>
      <w:r>
        <w:rPr>
          <w:rFonts w:hint="eastAsia"/>
        </w:rPr>
        <w:t>2022-2023年固定资产清查盘点技术服务</w:t>
      </w:r>
      <w:r>
        <w:rPr>
          <w:rFonts w:hint="eastAsia" w:ascii="仿宋_GB2312" w:hAnsi="仿宋_GB2312" w:eastAsia="仿宋_GB2312" w:cs="仿宋_GB2312"/>
          <w:sz w:val="28"/>
          <w:szCs w:val="28"/>
        </w:rPr>
        <w:t>》合同</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我单位除指派专门现场的技术人员外，还为本项目提供项目经理及专门的技术支撑团队，项目经理对项目整体负统筹责任，1小时内对客户的需求进行响应。承诺在项目验收时能够完整移交相关的项目资料。</w:t>
      </w:r>
    </w:p>
    <w:p>
      <w:pPr>
        <w:rPr>
          <w:rFonts w:hint="eastAsia"/>
        </w:rPr>
      </w:pPr>
    </w:p>
    <w:p/>
    <w:sectPr>
      <w:footerReference r:id="rId6" w:type="default"/>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0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690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420" w:firstLineChars="200"/>
      <w:jc w:val="both"/>
    </w:pPr>
    <w:rPr>
      <w:rFonts w:ascii="Times New Roman" w:hAnsi="Times New Roman" w:eastAsia="仿宋_GB2312" w:cs="Times New Roman"/>
      <w:kern w:val="2"/>
      <w:sz w:val="28"/>
      <w:szCs w:val="24"/>
      <w:lang w:val="en-US" w:eastAsia="zh-CN" w:bidi="ar-SA"/>
    </w:rPr>
  </w:style>
  <w:style w:type="paragraph" w:styleId="3">
    <w:name w:val="heading 3"/>
    <w:basedOn w:val="4"/>
    <w:next w:val="1"/>
    <w:qFormat/>
    <w:uiPriority w:val="0"/>
    <w:pPr>
      <w:keepNext/>
      <w:keepLines/>
      <w:adjustRightInd w:val="0"/>
      <w:snapToGrid w:val="0"/>
      <w:spacing w:beforeAutospacing="0" w:afterAutospacing="0" w:line="360" w:lineRule="auto"/>
      <w:outlineLvl w:val="2"/>
    </w:pPr>
    <w:rPr>
      <w:rFonts w:ascii="Arial" w:hAnsi="Arial" w:eastAsia="宋体" w:cs="Times New Roman"/>
      <w:bCs/>
      <w:szCs w:val="28"/>
    </w:rPr>
  </w:style>
  <w:style w:type="paragraph" w:styleId="4">
    <w:name w:val="heading 4"/>
    <w:basedOn w:val="1"/>
    <w:next w:val="1"/>
    <w:qFormat/>
    <w:uiPriority w:val="0"/>
    <w:pPr>
      <w:keepNext/>
      <w:keepLines/>
      <w:spacing w:before="280" w:beforeAutospacing="0" w:after="290" w:afterAutospacing="0" w:line="372" w:lineRule="auto"/>
      <w:outlineLvl w:val="3"/>
    </w:pPr>
    <w:rPr>
      <w:rFonts w:ascii="Arial" w:hAnsi="Arial" w:eastAsia="黑体"/>
      <w:b/>
      <w:sz w:val="28"/>
    </w:rPr>
  </w:style>
  <w:style w:type="character" w:default="1" w:styleId="7">
    <w:name w:val="Default Paragraph Font"/>
    <w:qFormat/>
    <w:uiPriority w:val="0"/>
  </w:style>
  <w:style w:type="table" w:default="1" w:styleId="6">
    <w:name w:val="Normal Table"/>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5">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1679</Words>
  <Characters>1789</Characters>
  <Paragraphs>170</Paragraphs>
  <TotalTime>2</TotalTime>
  <ScaleCrop>false</ScaleCrop>
  <LinksUpToDate>false</LinksUpToDate>
  <CharactersWithSpaces>1794</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2023-09-22T03:33:00Z</dcterms:created>
  <dc:creator>娃娃</dc:creator>
  <cp:lastModifiedBy>admin</cp:lastModifiedBy>
  <dcterms:modified xsi:type="dcterms:W3CDTF">2023-09-25T06:21:44Z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B7AFD93572B949119D3EF52EADDD9391</vt:lpwstr>
  </property>
</Properties>
</file>