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Cs/>
          <w:sz w:val="32"/>
          <w:szCs w:val="32"/>
        </w:rPr>
      </w:pPr>
      <w:r>
        <w:rPr>
          <w:rFonts w:hint="eastAsia" w:ascii="方正小标宋简体" w:hAnsi="宋体" w:eastAsia="方正小标宋简体"/>
          <w:bCs/>
          <w:sz w:val="32"/>
          <w:szCs w:val="32"/>
        </w:rPr>
        <w:t>《深圳市规划和自然资源局划定管理范围线工作规则（征求意见稿）》征求意见及采纳情况汇总表</w:t>
      </w:r>
    </w:p>
    <w:p>
      <w:pPr>
        <w:spacing w:line="560" w:lineRule="exact"/>
        <w:jc w:val="center"/>
        <w:rPr>
          <w:rFonts w:ascii="方正小标宋简体" w:hAnsi="黑体" w:eastAsia="方正小标宋简体"/>
          <w:bCs/>
          <w:sz w:val="32"/>
          <w:szCs w:val="32"/>
        </w:rPr>
      </w:pPr>
      <w:r>
        <w:rPr>
          <w:rFonts w:hint="eastAsia" w:ascii="方正小标宋简体" w:hAnsi="宋体" w:eastAsia="方正小标宋简体"/>
          <w:bCs/>
          <w:sz w:val="32"/>
          <w:szCs w:val="32"/>
        </w:rPr>
        <w:t>（社会公众意见）</w:t>
      </w:r>
    </w:p>
    <w:tbl>
      <w:tblPr>
        <w:tblStyle w:val="10"/>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122"/>
        <w:gridCol w:w="7291"/>
        <w:gridCol w:w="1066"/>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722" w:type="dxa"/>
            <w:shd w:val="clear" w:color="auto" w:fill="E7E6E6" w:themeFill="background2"/>
            <w:vAlign w:val="center"/>
          </w:tcPr>
          <w:p>
            <w:pPr>
              <w:jc w:val="center"/>
              <w:rPr>
                <w:rFonts w:ascii="宋体" w:hAnsi="宋体" w:eastAsia="宋体"/>
                <w:b/>
                <w:bCs/>
                <w:szCs w:val="21"/>
              </w:rPr>
            </w:pPr>
            <w:r>
              <w:rPr>
                <w:rFonts w:hint="eastAsia" w:ascii="宋体" w:hAnsi="宋体" w:eastAsia="宋体"/>
                <w:b/>
                <w:bCs/>
                <w:szCs w:val="21"/>
              </w:rPr>
              <w:t>序号</w:t>
            </w:r>
          </w:p>
        </w:tc>
        <w:tc>
          <w:tcPr>
            <w:tcW w:w="1122" w:type="dxa"/>
            <w:shd w:val="clear" w:color="auto" w:fill="E7E6E6" w:themeFill="background2"/>
            <w:vAlign w:val="center"/>
          </w:tcPr>
          <w:p>
            <w:pPr>
              <w:jc w:val="center"/>
              <w:rPr>
                <w:rFonts w:ascii="宋体" w:hAnsi="宋体" w:eastAsia="宋体"/>
                <w:b/>
                <w:bCs/>
                <w:szCs w:val="21"/>
              </w:rPr>
            </w:pPr>
            <w:r>
              <w:rPr>
                <w:rFonts w:hint="eastAsia" w:ascii="宋体" w:hAnsi="宋体" w:eastAsia="宋体"/>
                <w:b/>
                <w:bCs/>
                <w:szCs w:val="21"/>
              </w:rPr>
              <w:t>意见来源</w:t>
            </w:r>
          </w:p>
        </w:tc>
        <w:tc>
          <w:tcPr>
            <w:tcW w:w="7291" w:type="dxa"/>
            <w:shd w:val="clear" w:color="auto" w:fill="E7E6E6" w:themeFill="background2"/>
            <w:vAlign w:val="center"/>
          </w:tcPr>
          <w:p>
            <w:pPr>
              <w:jc w:val="center"/>
              <w:rPr>
                <w:rFonts w:ascii="宋体" w:hAnsi="宋体" w:eastAsia="宋体"/>
                <w:b/>
                <w:bCs/>
                <w:szCs w:val="21"/>
              </w:rPr>
            </w:pPr>
            <w:r>
              <w:rPr>
                <w:rFonts w:hint="eastAsia" w:ascii="宋体" w:hAnsi="宋体" w:eastAsia="宋体"/>
                <w:b/>
                <w:bCs/>
                <w:color w:val="000000" w:themeColor="text1"/>
                <w:szCs w:val="21"/>
                <w14:textFill>
                  <w14:solidFill>
                    <w14:schemeClr w14:val="tx1"/>
                  </w14:solidFill>
                </w14:textFill>
              </w:rPr>
              <w:t>反馈意见及建议</w:t>
            </w:r>
          </w:p>
        </w:tc>
        <w:tc>
          <w:tcPr>
            <w:tcW w:w="1066" w:type="dxa"/>
            <w:shd w:val="clear" w:color="auto" w:fill="E7E6E6" w:themeFill="background2"/>
            <w:vAlign w:val="center"/>
          </w:tcPr>
          <w:p>
            <w:pPr>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采纳情况</w:t>
            </w:r>
          </w:p>
        </w:tc>
        <w:tc>
          <w:tcPr>
            <w:tcW w:w="3828" w:type="dxa"/>
            <w:shd w:val="clear" w:color="auto" w:fill="E7E6E6" w:themeFill="background2"/>
            <w:vAlign w:val="center"/>
          </w:tcPr>
          <w:p>
            <w:pPr>
              <w:jc w:val="center"/>
              <w:rPr>
                <w:rFonts w:ascii="宋体" w:hAnsi="宋体" w:eastAsia="宋体"/>
                <w:b/>
                <w:bCs/>
                <w:szCs w:val="21"/>
              </w:rPr>
            </w:pPr>
            <w:r>
              <w:rPr>
                <w:rFonts w:hint="eastAsia" w:ascii="宋体" w:hAnsi="宋体" w:eastAsia="宋体"/>
                <w:b/>
                <w:bCs/>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2" w:hRule="atLeast"/>
          <w:jc w:val="center"/>
        </w:trPr>
        <w:tc>
          <w:tcPr>
            <w:tcW w:w="722" w:type="dxa"/>
            <w:vAlign w:val="center"/>
          </w:tcPr>
          <w:p>
            <w:pPr>
              <w:jc w:val="center"/>
              <w:rPr>
                <w:rFonts w:ascii="宋体" w:hAnsi="宋体" w:eastAsia="宋体" w:cstheme="majorBidi"/>
                <w:bCs/>
                <w:szCs w:val="21"/>
              </w:rPr>
            </w:pPr>
            <w:r>
              <w:rPr>
                <w:rFonts w:hint="eastAsia" w:ascii="宋体" w:hAnsi="宋体" w:eastAsia="宋体" w:cstheme="majorBidi"/>
                <w:bCs/>
                <w:szCs w:val="21"/>
              </w:rPr>
              <w:t>1</w:t>
            </w:r>
          </w:p>
        </w:tc>
        <w:tc>
          <w:tcPr>
            <w:tcW w:w="1122" w:type="dxa"/>
            <w:vMerge w:val="restart"/>
            <w:vAlign w:val="center"/>
          </w:tcPr>
          <w:p>
            <w:pPr>
              <w:jc w:val="center"/>
              <w:rPr>
                <w:rFonts w:ascii="宋体" w:hAnsi="宋体" w:eastAsia="宋体" w:cstheme="majorBidi"/>
                <w:bCs/>
                <w:szCs w:val="21"/>
              </w:rPr>
            </w:pPr>
            <w:r>
              <w:rPr>
                <w:rFonts w:hint="eastAsia" w:ascii="宋体" w:hAnsi="宋体" w:eastAsia="宋体" w:cstheme="majorBidi"/>
                <w:bCs/>
                <w:szCs w:val="21"/>
              </w:rPr>
              <w:t>骆*</w:t>
            </w:r>
            <w:r>
              <w:rPr>
                <w:rFonts w:ascii="宋体" w:hAnsi="宋体" w:eastAsia="宋体" w:cstheme="majorBidi"/>
                <w:bCs/>
                <w:szCs w:val="21"/>
              </w:rPr>
              <w:t>*</w:t>
            </w:r>
            <w:r>
              <w:rPr>
                <w:rFonts w:hint="eastAsia" w:ascii="宋体" w:hAnsi="宋体" w:eastAsia="宋体" w:cstheme="majorBidi"/>
                <w:bCs/>
                <w:szCs w:val="21"/>
              </w:rPr>
              <w:t>，</w:t>
            </w:r>
          </w:p>
          <w:p>
            <w:pPr>
              <w:jc w:val="center"/>
              <w:rPr>
                <w:rFonts w:ascii="宋体" w:hAnsi="宋体" w:eastAsia="宋体" w:cstheme="majorBidi"/>
                <w:bCs/>
                <w:szCs w:val="21"/>
              </w:rPr>
            </w:pPr>
            <w:r>
              <w:rPr>
                <w:rFonts w:hint="eastAsia" w:ascii="宋体" w:hAnsi="宋体" w:eastAsia="宋体" w:cstheme="majorBidi"/>
                <w:bCs/>
                <w:szCs w:val="21"/>
              </w:rPr>
              <w:t>深圳市特区建设发展集团有限公司</w:t>
            </w:r>
          </w:p>
        </w:tc>
        <w:tc>
          <w:tcPr>
            <w:tcW w:w="7291" w:type="dxa"/>
            <w:vAlign w:val="center"/>
          </w:tcPr>
          <w:p>
            <w:pPr>
              <w:pStyle w:val="4"/>
              <w:shd w:val="clear" w:color="auto" w:fill="FFFFFF"/>
              <w:spacing w:before="0" w:after="0" w:line="240" w:lineRule="auto"/>
              <w:rPr>
                <w:rFonts w:ascii="宋体" w:hAnsi="宋体" w:eastAsia="宋体"/>
                <w:b w:val="0"/>
                <w:sz w:val="21"/>
                <w:szCs w:val="21"/>
              </w:rPr>
            </w:pPr>
            <w:r>
              <w:rPr>
                <w:rFonts w:hint="eastAsia" w:ascii="宋体" w:hAnsi="宋体" w:eastAsia="宋体"/>
                <w:b w:val="0"/>
                <w:sz w:val="21"/>
                <w:szCs w:val="21"/>
              </w:rPr>
              <w:t>根据《中华人民共和国民法典》第三百四十五条“建设用地使用权可以在土地的地表、地上或者地下分别设立”、《广东省自然资源厅关于地上地下国有建设用地使用权及其所附建筑物构筑物所有权确权登记暂行办法》第二条“有建设用地使用权在土地的地表、地上、地下分别设立的，可以分别确权登记”有关建设用地使用权可分层确权的规定，建议将第六条第一款第二段“以高架桥梁跨越、地下隧道穿越等不涉及占用地面的方式进入管理范围线的其他建设项目，在可行性研究报告审批阶段项目单位应取得管理范围线管理主体和相关主管部门同意进入的意见，此类情形可不调整管理范围线”调整为“以高架桥梁跨越、地下隧道穿越等不涉及占用地面的方式进入管理范围线的其他建设项目，在可行性研究报告审批阶段项目单位应取得管理范围线管理主体和相关主管部门对方案安全性同意的意见，此类情形可不调整管理范围线”。</w:t>
            </w:r>
          </w:p>
        </w:tc>
        <w:tc>
          <w:tcPr>
            <w:tcW w:w="1066" w:type="dxa"/>
            <w:vAlign w:val="center"/>
          </w:tcPr>
          <w:p>
            <w:pPr>
              <w:jc w:val="center"/>
              <w:rPr>
                <w:rFonts w:ascii="宋体" w:hAnsi="宋体" w:eastAsia="宋体"/>
                <w:szCs w:val="21"/>
              </w:rPr>
            </w:pPr>
            <w:r>
              <w:rPr>
                <w:rFonts w:hint="eastAsia" w:ascii="宋体" w:hAnsi="宋体" w:eastAsia="宋体"/>
                <w:szCs w:val="21"/>
              </w:rPr>
              <w:t>解释</w:t>
            </w:r>
          </w:p>
        </w:tc>
        <w:tc>
          <w:tcPr>
            <w:tcW w:w="3828" w:type="dxa"/>
            <w:vAlign w:val="center"/>
          </w:tcPr>
          <w:p>
            <w:pPr>
              <w:ind w:firstLine="420" w:firstLineChars="200"/>
              <w:rPr>
                <w:rFonts w:ascii="宋体" w:hAnsi="宋体" w:eastAsia="宋体"/>
                <w:szCs w:val="21"/>
              </w:rPr>
            </w:pPr>
            <w:r>
              <w:rPr>
                <w:rFonts w:hint="eastAsia" w:ascii="宋体" w:hAnsi="宋体" w:eastAsia="宋体"/>
                <w:szCs w:val="21"/>
              </w:rPr>
              <w:t>以高架桥梁跨越、地下隧道穿越等不涉及占用地面的方式进入管理范围线的其他建设项目</w:t>
            </w:r>
            <w:r>
              <w:rPr>
                <w:rFonts w:hint="eastAsia" w:ascii="宋体" w:hAnsi="宋体" w:eastAsia="宋体"/>
                <w:szCs w:val="21"/>
                <w:lang w:eastAsia="zh-CN"/>
              </w:rPr>
              <w:t>可</w:t>
            </w:r>
            <w:r>
              <w:rPr>
                <w:rFonts w:hint="eastAsia" w:ascii="宋体" w:hAnsi="宋体" w:eastAsia="宋体"/>
                <w:bCs/>
                <w:szCs w:val="21"/>
              </w:rPr>
              <w:t>按国土空间用途管制要求设立土地使用权</w:t>
            </w:r>
            <w:r>
              <w:rPr>
                <w:rFonts w:hint="eastAsia" w:ascii="宋体" w:hAnsi="宋体" w:eastAsia="宋体"/>
                <w:bCs/>
                <w:szCs w:val="21"/>
                <w:lang w:eastAsia="zh-CN"/>
              </w:rPr>
              <w:t>，考虑到管理范围的完整性，此类情形可不调整管理范围线。对于上述情形</w:t>
            </w:r>
            <w:r>
              <w:rPr>
                <w:rFonts w:hint="eastAsia" w:ascii="宋体" w:hAnsi="宋体" w:eastAsia="宋体"/>
                <w:bCs/>
                <w:szCs w:val="21"/>
              </w:rPr>
              <w:t>，需征得</w:t>
            </w:r>
            <w:r>
              <w:rPr>
                <w:rFonts w:hint="eastAsia" w:ascii="宋体" w:hAnsi="宋体" w:eastAsia="宋体"/>
                <w:szCs w:val="21"/>
              </w:rPr>
              <w:t>管理</w:t>
            </w:r>
            <w:r>
              <w:rPr>
                <w:rFonts w:hint="eastAsia" w:ascii="宋体" w:hAnsi="宋体" w:eastAsia="宋体"/>
                <w:szCs w:val="21"/>
                <w:lang w:eastAsia="zh-CN"/>
              </w:rPr>
              <w:t>范围线管理</w:t>
            </w:r>
            <w:r>
              <w:rPr>
                <w:rFonts w:hint="eastAsia" w:ascii="宋体" w:hAnsi="宋体" w:eastAsia="宋体"/>
                <w:szCs w:val="21"/>
              </w:rPr>
              <w:t>主体和相关主管部门同意</w:t>
            </w:r>
            <w:r>
              <w:rPr>
                <w:rFonts w:hint="eastAsia" w:ascii="宋体" w:hAnsi="宋体" w:eastAsia="宋体"/>
                <w:szCs w:val="21"/>
                <w:lang w:eastAsia="zh-CN"/>
              </w:rPr>
              <w:t>意见</w:t>
            </w:r>
            <w:r>
              <w:rPr>
                <w:rFonts w:hint="eastAsia" w:ascii="宋体" w:hAnsi="宋体" w:eastAsia="宋体"/>
                <w:szCs w:val="21"/>
              </w:rPr>
              <w:t>，具体</w:t>
            </w:r>
            <w:r>
              <w:rPr>
                <w:rFonts w:hint="eastAsia" w:ascii="宋体" w:hAnsi="宋体" w:eastAsia="宋体"/>
                <w:szCs w:val="21"/>
                <w:lang w:eastAsia="zh-CN"/>
              </w:rPr>
              <w:t>内容</w:t>
            </w:r>
            <w:r>
              <w:rPr>
                <w:rFonts w:hint="eastAsia" w:ascii="宋体" w:hAnsi="宋体" w:eastAsia="宋体"/>
                <w:szCs w:val="21"/>
              </w:rPr>
              <w:t>由双方协商衔接</w:t>
            </w:r>
            <w:r>
              <w:rPr>
                <w:rFonts w:hint="eastAsia" w:ascii="宋体" w:hAnsi="宋体" w:eastAsia="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722" w:type="dxa"/>
            <w:vAlign w:val="center"/>
          </w:tcPr>
          <w:p>
            <w:pPr>
              <w:jc w:val="center"/>
              <w:rPr>
                <w:rFonts w:ascii="宋体" w:hAnsi="宋体" w:eastAsia="宋体" w:cstheme="majorBidi"/>
                <w:bCs/>
                <w:szCs w:val="21"/>
              </w:rPr>
            </w:pPr>
            <w:r>
              <w:rPr>
                <w:rFonts w:hint="eastAsia" w:ascii="宋体" w:hAnsi="宋体" w:eastAsia="宋体" w:cstheme="majorBidi"/>
                <w:bCs/>
                <w:szCs w:val="21"/>
              </w:rPr>
              <w:t>2</w:t>
            </w:r>
          </w:p>
        </w:tc>
        <w:tc>
          <w:tcPr>
            <w:tcW w:w="1122" w:type="dxa"/>
            <w:vMerge w:val="continue"/>
            <w:vAlign w:val="center"/>
          </w:tcPr>
          <w:p>
            <w:pPr>
              <w:jc w:val="center"/>
              <w:rPr>
                <w:rFonts w:ascii="宋体" w:hAnsi="宋体" w:eastAsia="宋体" w:cstheme="majorBidi"/>
                <w:bCs/>
                <w:szCs w:val="21"/>
              </w:rPr>
            </w:pPr>
          </w:p>
        </w:tc>
        <w:tc>
          <w:tcPr>
            <w:tcW w:w="7291" w:type="dxa"/>
            <w:vAlign w:val="center"/>
          </w:tcPr>
          <w:p>
            <w:pPr>
              <w:pStyle w:val="4"/>
              <w:shd w:val="clear" w:color="auto" w:fill="FFFFFF"/>
              <w:spacing w:before="0" w:after="0" w:line="240" w:lineRule="auto"/>
              <w:rPr>
                <w:rFonts w:ascii="宋体" w:hAnsi="宋体" w:eastAsia="宋体"/>
                <w:b w:val="0"/>
                <w:sz w:val="21"/>
                <w:szCs w:val="21"/>
              </w:rPr>
            </w:pPr>
            <w:r>
              <w:rPr>
                <w:rFonts w:hint="eastAsia" w:ascii="宋体" w:hAnsi="宋体" w:eastAsia="宋体"/>
                <w:b w:val="0"/>
                <w:sz w:val="21"/>
                <w:szCs w:val="21"/>
              </w:rPr>
              <w:t>建议将第六条第二款“公园绿地、水库水面、河流水面、湖泊水面等用地的管理主体因项目自身管理需要在管理范围线内建设的永久性工程设施，在符合下列条件的情况下按程序办理建设用地审批手续”调整为“公园绿地、水库水面、河流水面、湖泊水面等用地的管理主体因项目自身管理及市政配套需要在管理范围线内建设的永久性工程设施，在符合下列条件的情况下按程序办理建设用地审批手续”。</w:t>
            </w:r>
          </w:p>
        </w:tc>
        <w:tc>
          <w:tcPr>
            <w:tcW w:w="1066" w:type="dxa"/>
            <w:vAlign w:val="center"/>
          </w:tcPr>
          <w:p>
            <w:pPr>
              <w:jc w:val="center"/>
              <w:rPr>
                <w:rFonts w:hint="eastAsia" w:ascii="宋体" w:hAnsi="宋体" w:eastAsia="宋体"/>
                <w:bCs/>
                <w:szCs w:val="21"/>
                <w:lang w:eastAsia="zh-CN"/>
              </w:rPr>
            </w:pPr>
            <w:r>
              <w:rPr>
                <w:rFonts w:hint="eastAsia" w:ascii="宋体" w:hAnsi="宋体" w:eastAsia="宋体"/>
                <w:szCs w:val="21"/>
                <w:lang w:eastAsia="zh-CN"/>
              </w:rPr>
              <w:t>解释</w:t>
            </w:r>
          </w:p>
        </w:tc>
        <w:tc>
          <w:tcPr>
            <w:tcW w:w="3828" w:type="dxa"/>
            <w:vAlign w:val="center"/>
          </w:tcPr>
          <w:p>
            <w:pPr>
              <w:ind w:firstLine="420" w:firstLineChars="200"/>
              <w:rPr>
                <w:rFonts w:ascii="宋体" w:hAnsi="宋体" w:eastAsia="宋体"/>
                <w:szCs w:val="21"/>
              </w:rPr>
            </w:pPr>
            <w:r>
              <w:rPr>
                <w:rFonts w:hint="eastAsia" w:ascii="宋体" w:hAnsi="宋体" w:eastAsia="宋体"/>
                <w:bCs/>
                <w:szCs w:val="21"/>
                <w:lang w:eastAsia="zh-CN"/>
              </w:rPr>
              <w:t>如市政配套设施为管理范围线管理主体自身管理需要建设的永久性工程设施，按</w:t>
            </w:r>
            <w:r>
              <w:rPr>
                <w:rFonts w:hint="eastAsia" w:ascii="宋体" w:hAnsi="宋体" w:eastAsia="宋体"/>
                <w:b w:val="0"/>
                <w:sz w:val="21"/>
                <w:szCs w:val="21"/>
              </w:rPr>
              <w:t>第六条第</w:t>
            </w:r>
            <w:r>
              <w:rPr>
                <w:rFonts w:hint="eastAsia" w:ascii="宋体" w:hAnsi="宋体" w:eastAsia="宋体"/>
                <w:b w:val="0"/>
                <w:sz w:val="21"/>
                <w:szCs w:val="21"/>
                <w:lang w:eastAsia="zh-CN"/>
              </w:rPr>
              <w:t>（二）点</w:t>
            </w:r>
            <w:r>
              <w:rPr>
                <w:rFonts w:hint="eastAsia" w:ascii="宋体" w:hAnsi="宋体" w:eastAsia="宋体"/>
                <w:bCs/>
                <w:szCs w:val="21"/>
                <w:lang w:eastAsia="zh-CN"/>
              </w:rPr>
              <w:t>办理，由管理范围线管理主体办理有关建设用地审批手续。如</w:t>
            </w:r>
            <w:r>
              <w:rPr>
                <w:rFonts w:hint="eastAsia" w:ascii="宋体" w:hAnsi="宋体" w:eastAsia="宋体"/>
                <w:bCs/>
                <w:szCs w:val="21"/>
              </w:rPr>
              <w:t>市政配套项目属于其他建设项目，</w:t>
            </w:r>
            <w:r>
              <w:rPr>
                <w:rFonts w:hint="eastAsia" w:ascii="宋体" w:hAnsi="宋体" w:eastAsia="宋体"/>
                <w:szCs w:val="21"/>
              </w:rPr>
              <w:t>按照第六点第（一）点</w:t>
            </w:r>
            <w:r>
              <w:rPr>
                <w:rFonts w:hint="eastAsia" w:ascii="宋体" w:hAnsi="宋体" w:eastAsia="宋体"/>
                <w:szCs w:val="21"/>
                <w:lang w:eastAsia="zh-CN"/>
              </w:rPr>
              <w:t>办理</w:t>
            </w:r>
            <w:r>
              <w:rPr>
                <w:rFonts w:hint="eastAsia" w:ascii="宋体" w:hAnsi="宋体" w:eastAsia="宋体"/>
                <w:szCs w:val="21"/>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22" w:type="dxa"/>
            <w:vAlign w:val="center"/>
          </w:tcPr>
          <w:p>
            <w:pPr>
              <w:jc w:val="center"/>
              <w:rPr>
                <w:rFonts w:ascii="宋体" w:hAnsi="宋体" w:eastAsia="宋体" w:cstheme="majorBidi"/>
                <w:bCs/>
                <w:szCs w:val="21"/>
              </w:rPr>
            </w:pPr>
            <w:r>
              <w:rPr>
                <w:rFonts w:hint="eastAsia" w:ascii="宋体" w:hAnsi="宋体" w:eastAsia="宋体" w:cstheme="majorBidi"/>
                <w:bCs/>
                <w:szCs w:val="21"/>
              </w:rPr>
              <w:t>3</w:t>
            </w:r>
          </w:p>
        </w:tc>
        <w:tc>
          <w:tcPr>
            <w:tcW w:w="1122" w:type="dxa"/>
            <w:vMerge w:val="continue"/>
            <w:vAlign w:val="center"/>
          </w:tcPr>
          <w:p>
            <w:pPr>
              <w:jc w:val="center"/>
              <w:rPr>
                <w:rFonts w:ascii="宋体" w:hAnsi="宋体" w:eastAsia="宋体" w:cstheme="majorBidi"/>
                <w:bCs/>
                <w:szCs w:val="21"/>
              </w:rPr>
            </w:pPr>
          </w:p>
        </w:tc>
        <w:tc>
          <w:tcPr>
            <w:tcW w:w="7291" w:type="dxa"/>
            <w:vAlign w:val="center"/>
          </w:tcPr>
          <w:p>
            <w:pPr>
              <w:pStyle w:val="4"/>
              <w:shd w:val="clear" w:color="auto" w:fill="FFFFFF"/>
              <w:spacing w:before="0" w:after="0" w:line="240" w:lineRule="auto"/>
              <w:rPr>
                <w:rFonts w:ascii="宋体" w:hAnsi="宋体" w:eastAsia="宋体"/>
                <w:b w:val="0"/>
                <w:sz w:val="21"/>
                <w:szCs w:val="21"/>
              </w:rPr>
            </w:pPr>
            <w:r>
              <w:rPr>
                <w:rFonts w:hint="eastAsia" w:ascii="宋体" w:hAnsi="宋体" w:eastAsia="宋体"/>
                <w:b w:val="0"/>
                <w:sz w:val="21"/>
                <w:szCs w:val="21"/>
              </w:rPr>
              <w:t>建议第六条第二款“经相关行政主管部门同意”明确“相关行政主管部门”，如：规划管理部门或行业主管部门。</w:t>
            </w:r>
          </w:p>
        </w:tc>
        <w:tc>
          <w:tcPr>
            <w:tcW w:w="1066" w:type="dxa"/>
            <w:vAlign w:val="center"/>
          </w:tcPr>
          <w:p>
            <w:pPr>
              <w:jc w:val="center"/>
              <w:rPr>
                <w:rFonts w:ascii="宋体" w:hAnsi="宋体" w:eastAsia="宋体"/>
                <w:szCs w:val="21"/>
              </w:rPr>
            </w:pPr>
            <w:r>
              <w:rPr>
                <w:rFonts w:hint="eastAsia" w:ascii="宋体" w:hAnsi="宋体" w:eastAsia="宋体"/>
                <w:szCs w:val="21"/>
              </w:rPr>
              <w:t>采纳</w:t>
            </w:r>
          </w:p>
        </w:tc>
        <w:tc>
          <w:tcPr>
            <w:tcW w:w="3828" w:type="dxa"/>
            <w:vAlign w:val="center"/>
          </w:tcPr>
          <w:p>
            <w:pPr>
              <w:rPr>
                <w:rFonts w:ascii="宋体" w:hAnsi="宋体" w:eastAsia="宋体"/>
                <w:szCs w:val="21"/>
              </w:rPr>
            </w:pPr>
            <w:r>
              <w:rPr>
                <w:rFonts w:hint="eastAsia" w:ascii="宋体" w:hAnsi="宋体" w:eastAsia="宋体"/>
                <w:szCs w:val="21"/>
              </w:rPr>
              <w:t>已修改相关表述。</w:t>
            </w:r>
          </w:p>
        </w:tc>
      </w:tr>
    </w:tbl>
    <w:p/>
    <w:sectPr>
      <w:footerReference r:id="rId3" w:type="default"/>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等线 Light">
    <w:altName w:val="URW Bookman"/>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2128658"/>
      <w:docPartObj>
        <w:docPartGallery w:val="autotext"/>
      </w:docPartObj>
    </w:sdtPr>
    <w:sdtEndPr>
      <w:rPr>
        <w:rFonts w:ascii="宋体" w:hAnsi="宋体" w:eastAsia="宋体"/>
      </w:rPr>
    </w:sdtEndPr>
    <w:sdtContent>
      <w:p>
        <w:pPr>
          <w:pStyle w:val="5"/>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70"/>
    <w:rsid w:val="0000219A"/>
    <w:rsid w:val="00066F9F"/>
    <w:rsid w:val="000A3670"/>
    <w:rsid w:val="000B4DB8"/>
    <w:rsid w:val="000E15BC"/>
    <w:rsid w:val="000F4A78"/>
    <w:rsid w:val="00162488"/>
    <w:rsid w:val="001A5593"/>
    <w:rsid w:val="001C5AEB"/>
    <w:rsid w:val="00203FA4"/>
    <w:rsid w:val="00226C4D"/>
    <w:rsid w:val="00253370"/>
    <w:rsid w:val="002D178A"/>
    <w:rsid w:val="003B2FB3"/>
    <w:rsid w:val="00425F9C"/>
    <w:rsid w:val="004E49E0"/>
    <w:rsid w:val="004F0EF0"/>
    <w:rsid w:val="00506F25"/>
    <w:rsid w:val="005169E9"/>
    <w:rsid w:val="00554C0D"/>
    <w:rsid w:val="00570546"/>
    <w:rsid w:val="0058570F"/>
    <w:rsid w:val="005A43F5"/>
    <w:rsid w:val="00657C68"/>
    <w:rsid w:val="006A162C"/>
    <w:rsid w:val="006A6144"/>
    <w:rsid w:val="00731691"/>
    <w:rsid w:val="00753DE4"/>
    <w:rsid w:val="00773E90"/>
    <w:rsid w:val="00781C0F"/>
    <w:rsid w:val="00794C60"/>
    <w:rsid w:val="007967F3"/>
    <w:rsid w:val="007A09F4"/>
    <w:rsid w:val="007B537E"/>
    <w:rsid w:val="007D29DC"/>
    <w:rsid w:val="007E194D"/>
    <w:rsid w:val="00816631"/>
    <w:rsid w:val="00822360"/>
    <w:rsid w:val="00832A23"/>
    <w:rsid w:val="008F5F81"/>
    <w:rsid w:val="00953BCB"/>
    <w:rsid w:val="009F657A"/>
    <w:rsid w:val="00A17A8A"/>
    <w:rsid w:val="00A36492"/>
    <w:rsid w:val="00A75A7A"/>
    <w:rsid w:val="00AD4E60"/>
    <w:rsid w:val="00AD5B5D"/>
    <w:rsid w:val="00AF0CFC"/>
    <w:rsid w:val="00B04F00"/>
    <w:rsid w:val="00B86035"/>
    <w:rsid w:val="00BC1B1B"/>
    <w:rsid w:val="00C30A59"/>
    <w:rsid w:val="00C4023F"/>
    <w:rsid w:val="00C51918"/>
    <w:rsid w:val="00C62A66"/>
    <w:rsid w:val="00C71D45"/>
    <w:rsid w:val="00C916CF"/>
    <w:rsid w:val="00C95B8E"/>
    <w:rsid w:val="00CA7BF6"/>
    <w:rsid w:val="00CE22FB"/>
    <w:rsid w:val="00DA67AC"/>
    <w:rsid w:val="00DD6AF8"/>
    <w:rsid w:val="00DF6DF7"/>
    <w:rsid w:val="00E24FA3"/>
    <w:rsid w:val="00E8544C"/>
    <w:rsid w:val="00E93213"/>
    <w:rsid w:val="00E97D1E"/>
    <w:rsid w:val="00EB1507"/>
    <w:rsid w:val="00F446C0"/>
    <w:rsid w:val="00F465FB"/>
    <w:rsid w:val="00F73677"/>
    <w:rsid w:val="00F96DBC"/>
    <w:rsid w:val="00FA67A3"/>
    <w:rsid w:val="00FD1B10"/>
    <w:rsid w:val="00FE154E"/>
    <w:rsid w:val="773FFBEC"/>
    <w:rsid w:val="CFFEBAC7"/>
    <w:rsid w:val="FB5D3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7"/>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TML 预设格式 字符"/>
    <w:basedOn w:val="11"/>
    <w:link w:val="7"/>
    <w:qFormat/>
    <w:uiPriority w:val="99"/>
    <w:rPr>
      <w:rFonts w:ascii="宋体" w:hAnsi="宋体" w:eastAsia="宋体" w:cs="Times New Roman"/>
      <w:kern w:val="0"/>
      <w:sz w:val="24"/>
      <w:szCs w:val="24"/>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1"/>
    <w:link w:val="2"/>
    <w:qFormat/>
    <w:uiPriority w:val="9"/>
    <w:rPr>
      <w:rFonts w:ascii="宋体" w:hAnsi="宋体" w:eastAsia="宋体" w:cs="宋体"/>
      <w:b/>
      <w:bCs/>
      <w:kern w:val="36"/>
      <w:sz w:val="48"/>
      <w:szCs w:val="48"/>
    </w:rPr>
  </w:style>
  <w:style w:type="character" w:customStyle="1" w:styleId="17">
    <w:name w:val="标题 3 字符"/>
    <w:basedOn w:val="11"/>
    <w:link w:val="3"/>
    <w:qFormat/>
    <w:uiPriority w:val="9"/>
    <w:rPr>
      <w:b/>
      <w:bCs/>
      <w:sz w:val="32"/>
      <w:szCs w:val="32"/>
    </w:rPr>
  </w:style>
  <w:style w:type="character" w:customStyle="1" w:styleId="18">
    <w:name w:val="标题 4 字符"/>
    <w:basedOn w:val="11"/>
    <w:link w:val="4"/>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146</Words>
  <Characters>834</Characters>
  <Lines>6</Lines>
  <Paragraphs>1</Paragraphs>
  <TotalTime>50</TotalTime>
  <ScaleCrop>false</ScaleCrop>
  <LinksUpToDate>false</LinksUpToDate>
  <CharactersWithSpaces>979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2022-11-24T19:13:00Z</dcterms:created>
  <dc:creator>许良一</dc:creator>
  <cp:lastModifiedBy>qilin</cp:lastModifiedBy>
  <cp:lastPrinted>2023-09-19T22:46:00Z</cp:lastPrinted>
  <dcterms:modified xsi:type="dcterms:W3CDTF">2023-09-22T14:24:15Z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