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宋体" w:hAnsi="宋体" w:eastAsia="宋体"/>
          <w:sz w:val="32"/>
        </w:rPr>
      </w:pPr>
      <w:r>
        <w:rPr>
          <w:rFonts w:hint="eastAsia" w:ascii="宋体" w:hAnsi="宋体" w:eastAsia="宋体"/>
          <w:sz w:val="32"/>
        </w:rPr>
        <w:t>《市规划和自然资源局关于进一步明确短期租赁用地审批有关工作的通知（征求意见稿）》社会公众意见</w:t>
      </w:r>
      <w:r>
        <w:rPr>
          <w:rFonts w:hint="eastAsia" w:ascii="宋体" w:hAnsi="宋体" w:eastAsia="宋体"/>
          <w:sz w:val="32"/>
          <w:lang w:eastAsia="zh-CN"/>
        </w:rPr>
        <w:t>及采纳情况</w:t>
      </w:r>
      <w:r>
        <w:rPr>
          <w:rFonts w:hint="eastAsia" w:ascii="宋体" w:hAnsi="宋体" w:eastAsia="宋体"/>
          <w:sz w:val="32"/>
        </w:rPr>
        <w:t>汇总</w:t>
      </w:r>
    </w:p>
    <w:p>
      <w:pPr>
        <w:pStyle w:val="2"/>
      </w:pPr>
    </w:p>
    <w:tbl>
      <w:tblPr>
        <w:tblStyle w:val="5"/>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70"/>
        <w:gridCol w:w="4515"/>
        <w:gridCol w:w="1800"/>
        <w:gridCol w:w="1995"/>
        <w:gridCol w:w="3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
                <w:color w:val="auto"/>
                <w:sz w:val="24"/>
                <w:szCs w:val="24"/>
              </w:rPr>
            </w:pPr>
            <w:r>
              <w:rPr>
                <w:rFonts w:hint="eastAsia" w:ascii="仿宋" w:hAnsi="仿宋" w:eastAsia="仿宋"/>
                <w:b/>
                <w:color w:val="auto"/>
                <w:sz w:val="24"/>
                <w:szCs w:val="24"/>
              </w:rPr>
              <w:t>序号</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
                <w:color w:val="auto"/>
                <w:sz w:val="24"/>
                <w:szCs w:val="24"/>
              </w:rPr>
            </w:pPr>
            <w:r>
              <w:rPr>
                <w:rFonts w:hint="eastAsia" w:ascii="仿宋" w:hAnsi="仿宋" w:eastAsia="仿宋"/>
                <w:b/>
                <w:color w:val="auto"/>
                <w:sz w:val="24"/>
                <w:szCs w:val="24"/>
              </w:rPr>
              <w:t>条文</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
                <w:color w:val="auto"/>
                <w:sz w:val="24"/>
                <w:szCs w:val="24"/>
              </w:rPr>
            </w:pPr>
            <w:r>
              <w:rPr>
                <w:rFonts w:hint="eastAsia" w:ascii="仿宋" w:hAnsi="仿宋" w:eastAsia="仿宋"/>
                <w:b/>
                <w:color w:val="auto"/>
                <w:sz w:val="24"/>
                <w:szCs w:val="24"/>
              </w:rPr>
              <w:t>意见及建议</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
                <w:color w:val="auto"/>
                <w:sz w:val="24"/>
                <w:szCs w:val="24"/>
              </w:rPr>
            </w:pPr>
            <w:r>
              <w:rPr>
                <w:rFonts w:hint="eastAsia" w:ascii="仿宋" w:hAnsi="仿宋" w:eastAsia="仿宋"/>
                <w:b/>
                <w:color w:val="auto"/>
                <w:sz w:val="24"/>
                <w:szCs w:val="24"/>
              </w:rPr>
              <w:t>反馈单位或个人</w:t>
            </w:r>
          </w:p>
        </w:tc>
        <w:tc>
          <w:tcPr>
            <w:tcW w:w="199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
                <w:color w:val="auto"/>
                <w:sz w:val="24"/>
                <w:szCs w:val="24"/>
              </w:rPr>
            </w:pPr>
            <w:r>
              <w:rPr>
                <w:rFonts w:hint="eastAsia" w:ascii="仿宋" w:hAnsi="仿宋" w:eastAsia="仿宋"/>
                <w:b/>
                <w:color w:val="auto"/>
                <w:sz w:val="24"/>
                <w:szCs w:val="24"/>
              </w:rPr>
              <w:t>采纳情况</w:t>
            </w:r>
          </w:p>
        </w:tc>
        <w:tc>
          <w:tcPr>
            <w:tcW w:w="39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color w:val="auto"/>
                <w:sz w:val="24"/>
                <w:szCs w:val="24"/>
                <w:lang w:eastAsia="zh-CN"/>
              </w:rPr>
            </w:pPr>
            <w:r>
              <w:rPr>
                <w:rFonts w:hint="eastAsia" w:ascii="仿宋" w:hAnsi="仿宋" w:eastAsia="仿宋"/>
                <w:b/>
                <w:color w:val="auto"/>
                <w:sz w:val="24"/>
                <w:szCs w:val="24"/>
                <w:lang w:eastAsia="zh-CN"/>
              </w:rPr>
              <w:t>解释说明</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2"/>
              </w:rPr>
            </w:pPr>
            <w:r>
              <w:rPr>
                <w:rFonts w:hint="eastAsia" w:ascii="仿宋" w:hAnsi="仿宋" w:eastAsia="仿宋"/>
                <w:color w:val="auto"/>
                <w:sz w:val="22"/>
              </w:rPr>
              <w:t>1</w:t>
            </w:r>
          </w:p>
        </w:tc>
        <w:tc>
          <w:tcPr>
            <w:tcW w:w="87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auto"/>
                <w:sz w:val="22"/>
                <w:lang w:val="en-US" w:eastAsia="zh-CN"/>
              </w:rPr>
            </w:pPr>
            <w:r>
              <w:rPr>
                <w:rFonts w:hint="eastAsia" w:ascii="仿宋" w:hAnsi="仿宋" w:eastAsia="仿宋"/>
                <w:color w:val="auto"/>
                <w:sz w:val="22"/>
                <w:lang w:val="en-US" w:eastAsia="zh-CN"/>
              </w:rPr>
              <w:t>第三（一）1点</w:t>
            </w:r>
          </w:p>
        </w:tc>
        <w:tc>
          <w:tcPr>
            <w:tcW w:w="4515" w:type="dxa"/>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行业主管出具的项目须继续使用土地的意见，需明确行业主管单位具体指？是否可由项目主体提出须继续使用需求即可。</w:t>
            </w:r>
          </w:p>
        </w:tc>
        <w:tc>
          <w:tcPr>
            <w:tcW w:w="180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2"/>
              </w:rPr>
            </w:pPr>
            <w:r>
              <w:rPr>
                <w:rFonts w:hint="eastAsia" w:ascii="仿宋" w:hAnsi="仿宋" w:eastAsia="仿宋"/>
                <w:color w:val="auto"/>
                <w:sz w:val="22"/>
              </w:rPr>
              <w:t>深圳龙恒泰投资发展有限公司</w:t>
            </w:r>
          </w:p>
        </w:tc>
        <w:tc>
          <w:tcPr>
            <w:tcW w:w="199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4"/>
                <w:szCs w:val="24"/>
              </w:rPr>
            </w:pPr>
            <w:r>
              <w:rPr>
                <w:rFonts w:hint="eastAsia" w:ascii="仿宋" w:hAnsi="仿宋" w:eastAsia="仿宋"/>
                <w:color w:val="auto"/>
                <w:sz w:val="24"/>
                <w:szCs w:val="24"/>
              </w:rPr>
              <w:t>解释</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4"/>
                <w:szCs w:val="24"/>
              </w:rPr>
            </w:pPr>
          </w:p>
        </w:tc>
        <w:tc>
          <w:tcPr>
            <w:tcW w:w="391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olor w:val="auto"/>
              </w:rPr>
            </w:pPr>
            <w:r>
              <w:rPr>
                <w:rFonts w:hint="eastAsia" w:ascii="仿宋" w:hAnsi="仿宋" w:eastAsia="仿宋"/>
                <w:color w:val="auto"/>
                <w:sz w:val="24"/>
                <w:lang w:eastAsia="zh-CN"/>
              </w:rPr>
              <w:t>行业主管部门是指急需公共服务设施项目对应的行业主管部门。为确保项目以短期租赁方式使用土地的行为具有必要性，同时为落实行业主管部门的统筹、监管责任，在《市规划和自然资源局关于进一步明确短期租赁用地审批有关工作的通知（征求意见稿）》中明确由行业主管部门出具项目需继续使用土地的必要性意见。</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50D7"/>
    <w:rsid w:val="7FA74D17"/>
    <w:rsid w:val="CCF7DD46"/>
    <w:rsid w:val="EFF62DED"/>
    <w:rsid w:val="FFFF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eastAsia="宋体"/>
      <w:szCs w:val="21"/>
    </w:rPr>
  </w:style>
  <w:style w:type="paragraph" w:styleId="3">
    <w:name w:val="index 8"/>
    <w:basedOn w:val="1"/>
    <w:next w:val="1"/>
    <w:qFormat/>
    <w:uiPriority w:val="0"/>
    <w:pPr>
      <w:ind w:left="1400" w:leftChars="1400"/>
    </w:pPr>
    <w:rPr>
      <w:rFonts w:ascii="Calibri" w:hAnsi="Calibri" w:eastAsia="宋体"/>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2023-08-10T03:59:00Z</dcterms:created>
  <dc:creator>qilin</dc:creator>
  <cp:lastModifiedBy>qilin</cp:lastModifiedBy>
  <dcterms:modified xsi:type="dcterms:W3CDTF">2023-08-14T18:15:20Z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D61671EA5C11F1A32D0FD364A8182168</vt:lpwstr>
  </property>
</Properties>
</file>