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hint="default" w:ascii="仿宋_GB2312" w:hAnsi="Times New Roman" w:eastAsia="仿宋_GB2312" w:cs="Calibri"/>
          <w:b/>
          <w:sz w:val="32"/>
          <w:szCs w:val="32"/>
        </w:rPr>
      </w:pPr>
      <w:r>
        <w:rPr>
          <w:rFonts w:hint="default" w:ascii="仿宋_GB2312" w:hAnsi="Times New Roman" w:eastAsia="仿宋_GB2312" w:cs="Calibri"/>
          <w:b/>
          <w:sz w:val="32"/>
          <w:szCs w:val="32"/>
        </w:rPr>
        <w:t>关于[红树湾地区]法定图则DY04单元、DY08单元规划调整的通告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80" w:firstLineChars="150"/>
        <w:rPr>
          <w:rFonts w:hint="eastAsia"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依据《深圳市城市规划条例》，经深圳市城市规划委员会授权，法定图则委员会20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38</w:t>
      </w:r>
      <w:r>
        <w:rPr>
          <w:rFonts w:hint="eastAsia" w:ascii="仿宋_GB2312" w:hAnsi="Times New Roman" w:eastAsia="仿宋_GB2312" w:cs="Calibri"/>
          <w:sz w:val="32"/>
          <w:szCs w:val="32"/>
        </w:rPr>
        <w:t>次会议审批通过[红树湾地区]法定图则DY04单元、DY08单元规划调整事项，现予以公布：</w:t>
      </w:r>
    </w:p>
    <w:p>
      <w:pPr>
        <w:ind w:firstLine="315" w:firstLineChars="150"/>
        <w:rPr>
          <w:rFonts w:hint="eastAsia" w:ascii="仿宋_GB2312" w:hAnsi="Times New Roman" w:eastAsia="仿宋_GB2312" w:cs="Calibri"/>
          <w:sz w:val="32"/>
          <w:szCs w:val="32"/>
        </w:rPr>
      </w:pPr>
      <w:r>
        <w:drawing>
          <wp:inline distT="0" distB="0" distL="114300" distR="114300">
            <wp:extent cx="5643880" cy="1849755"/>
            <wp:effectExtent l="0" t="0" r="1397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498" w:type="dxa"/>
        <w:tblInd w:w="-2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939"/>
        <w:gridCol w:w="1418"/>
        <w:gridCol w:w="1104"/>
        <w:gridCol w:w="2769"/>
        <w:gridCol w:w="1319"/>
        <w:gridCol w:w="10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规划</w:t>
            </w: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控制</w:t>
            </w: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单元控制要求</w:t>
            </w: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地块编号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单元面积（公顷）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用地性质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用地面积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（㎡）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配套设施项目名称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公园</w:t>
            </w: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  <w:lang w:val="en-US" w:eastAsia="zh-CN"/>
              </w:rPr>
              <w:t>绿地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DY04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9.81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lang w:eastAsia="zh-CN"/>
              </w:rPr>
              <w:t>商业服务业用地</w:t>
            </w:r>
            <w:r>
              <w:rPr>
                <w:rFonts w:hint="eastAsia" w:cs="Arial" w:asciiTheme="minorEastAsia" w:hAnsiTheme="minorEastAsia" w:eastAsiaTheme="minorEastAsia"/>
                <w:lang w:val="en-US" w:eastAsia="zh-CN"/>
              </w:rPr>
              <w:t>+公共管理与服务设施用地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24~28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  <w:t>公交首末站、自行车停车场（库）、九年一贯制学校（不少于</w:t>
            </w: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27班</w:t>
            </w: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  <w:t>）</w:t>
            </w:r>
          </w:p>
        </w:tc>
        <w:tc>
          <w:tcPr>
            <w:tcW w:w="13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  <w:t>重点落实中部公园绿地和沿深湾一路的公园绿地；中部公园绿地为复合功能的公园绿地。</w:t>
            </w:r>
          </w:p>
        </w:tc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cs="Arial" w:asciiTheme="minorEastAsia" w:hAnsiTheme="minorEastAsia" w:eastAsiaTheme="minorEastAsia"/>
                <w:bCs/>
                <w:kern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  <w:t>商业服务业为主导功能的用地内包含</w:t>
            </w: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5%以上文化设施建筑面积。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DY08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9.77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商业服务业用地</w:t>
            </w: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+二类居住用地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lang w:val="en-US" w:eastAsia="zh-CN"/>
              </w:rPr>
              <w:t>53~70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cs="Arial" w:asciiTheme="minorEastAsia" w:hAnsiTheme="minorEastAsia" w:eastAsiaTheme="minorEastAsia"/>
                <w:bCs/>
                <w:kern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110kv变电站、公交首末站、社区健康服务中心、社区管理用房、文化活动室、社区警务室、自行车停车场（库）、老年人日间照料中心、9班幼儿园、托育机构、社区体育活动场地、社区儿童游戏场地</w:t>
            </w:r>
          </w:p>
        </w:tc>
        <w:tc>
          <w:tcPr>
            <w:tcW w:w="13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bCs/>
                <w:kern w:val="24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jc w:val="center"/>
      </w:pPr>
    </w:p>
    <w:tbl>
      <w:tblPr>
        <w:tblStyle w:val="7"/>
        <w:tblW w:w="9498" w:type="dxa"/>
        <w:tblInd w:w="-2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66"/>
        <w:gridCol w:w="1324"/>
        <w:gridCol w:w="1273"/>
        <w:gridCol w:w="736"/>
        <w:gridCol w:w="3050"/>
        <w:gridCol w:w="8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地块编号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用地代码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用地性质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用地面积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（㎡）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容积率</w:t>
            </w: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配套设施设置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04-07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lang w:val="en-US" w:eastAsia="zh-CN"/>
              </w:rPr>
              <w:t>GIC5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lang w:eastAsia="zh-CN"/>
              </w:rPr>
              <w:t>教育设施用地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14005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--</w:t>
            </w: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  <w:t>九年一贯制学校（不少于</w:t>
            </w: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27班</w:t>
            </w: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  <w:t>）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lang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03-14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R2</w:t>
            </w:r>
          </w:p>
        </w:tc>
        <w:tc>
          <w:tcPr>
            <w:tcW w:w="132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  <w:lang w:eastAsia="zh-CN"/>
              </w:rPr>
              <w:t>二类居住用地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dark1"/>
                <w:kern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17388</w:t>
            </w:r>
          </w:p>
        </w:tc>
        <w:tc>
          <w:tcPr>
            <w:tcW w:w="73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000000" w:themeColor="dark1"/>
                <w:kern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dark1"/>
                <w:kern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6.0</w:t>
            </w:r>
          </w:p>
        </w:tc>
        <w:tc>
          <w:tcPr>
            <w:tcW w:w="30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lang w:val="en-US" w:eastAsia="zh-CN"/>
              </w:rPr>
              <w:t>9班幼儿园（占地面积2700平方米）、托育机构（建筑面积300平方米）、社区体育活动场地（场地面积1670平方米）、社区健康服务中心（建筑面积1400平方米）、文化活动室（建筑面积1000平方米）、社区管理用房（建筑面积250平方米）、社区老年人日间照料中心（建筑面积1500平方米）、社区儿童游戏场地（场地面积1200平方米）。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lang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03-15</w:t>
            </w:r>
          </w:p>
        </w:tc>
        <w:tc>
          <w:tcPr>
            <w:tcW w:w="9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000000" w:themeColor="dark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 w:themeColor="dark1"/>
                <w:kern w:val="24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000000" w:themeColor="dark1"/>
                <w:kern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dark1"/>
                <w:kern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17222</w:t>
            </w:r>
          </w:p>
        </w:tc>
        <w:tc>
          <w:tcPr>
            <w:tcW w:w="73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30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kern w:val="24"/>
                <w:lang w:eastAsia="zh-CN"/>
              </w:rPr>
            </w:pPr>
          </w:p>
        </w:tc>
        <w:tc>
          <w:tcPr>
            <w:tcW w:w="8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           </w:t>
      </w:r>
    </w:p>
    <w:p>
      <w:pPr>
        <w:spacing w:before="120" w:after="120"/>
        <w:ind w:firstLine="480"/>
        <w:jc w:val="right"/>
        <w:rPr>
          <w:rFonts w:hint="eastAsia"/>
        </w:rPr>
      </w:pPr>
      <w:r>
        <w:rPr>
          <w:rFonts w:hint="eastAsia"/>
        </w:rPr>
        <w:t xml:space="preserve">                              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 w:cs="Calibri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Calibri"/>
          <w:sz w:val="32"/>
          <w:szCs w:val="32"/>
        </w:rPr>
        <w:t>日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5CF47539"/>
    <w:rsid w:val="735826DF"/>
    <w:rsid w:val="7FFEF69B"/>
    <w:rsid w:val="98EDAD7F"/>
    <w:rsid w:val="BA7F4F4F"/>
    <w:rsid w:val="EBD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6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2019-08-08T01:31:00Z</dcterms:created>
  <dc:creator>谭权</dc:creator>
  <cp:lastModifiedBy>liuzihan</cp:lastModifiedBy>
  <dcterms:modified xsi:type="dcterms:W3CDTF">2023-07-24T17:56:44Z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B09AEE64DA132AC425CA3364EEBED19E</vt:lpwstr>
  </property>
</Properties>
</file>