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黑体" w:hAnsi="黑体" w:eastAsia="黑体"/>
          <w:b w:val="0"/>
          <w:bCs/>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附件</w:t>
      </w:r>
      <w:r>
        <w:rPr>
          <w:rFonts w:hint="eastAsia" w:ascii="黑体" w:hAnsi="黑体" w:eastAsia="黑体"/>
          <w:b w:val="0"/>
          <w:bCs/>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eastAsia" w:ascii="黑体" w:hAnsi="黑体" w:eastAsia="黑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关于《深圳市建设用地开工竣工管理办法》的修订说明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仿宋_GB2312" w:hAnsi="仿宋" w:eastAsia="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为加强</w:t>
      </w:r>
      <w:r>
        <w:rPr>
          <w:rFonts w:hint="eastAsia" w:ascii="仿宋_GB2312" w:hAnsi="仿宋" w:eastAsia="仿宋_GB2312"/>
          <w:color w:val="000000" w:themeColor="text1"/>
          <w:sz w:val="32"/>
          <w:szCs w:val="32"/>
          <w:lang w:eastAsia="zh-CN"/>
          <w14:textFill>
            <w14:solidFill>
              <w14:schemeClr w14:val="tx1"/>
            </w14:solidFill>
          </w14:textFill>
        </w:rPr>
        <w:t>土地供应批</w:t>
      </w:r>
      <w:r>
        <w:rPr>
          <w:rFonts w:hint="eastAsia" w:ascii="仿宋_GB2312" w:hAnsi="仿宋" w:eastAsia="仿宋_GB2312"/>
          <w:color w:val="000000" w:themeColor="text1"/>
          <w:sz w:val="32"/>
          <w:szCs w:val="32"/>
          <w14:textFill>
            <w14:solidFill>
              <w14:schemeClr w14:val="tx1"/>
            </w14:solidFill>
          </w14:textFill>
        </w:rPr>
        <w:t>后监管，规范建设用地开</w:t>
      </w:r>
      <w:r>
        <w:rPr>
          <w:rFonts w:hint="eastAsia" w:ascii="仿宋_GB2312" w:hAnsi="仿宋" w:eastAsia="仿宋_GB2312"/>
          <w:color w:val="000000" w:themeColor="text1"/>
          <w:sz w:val="32"/>
          <w:szCs w:val="32"/>
          <w:lang w:eastAsia="zh-CN"/>
          <w14:textFill>
            <w14:solidFill>
              <w14:schemeClr w14:val="tx1"/>
            </w14:solidFill>
          </w14:textFill>
        </w:rPr>
        <w:t>工、</w:t>
      </w:r>
      <w:r>
        <w:rPr>
          <w:rFonts w:hint="eastAsia" w:ascii="仿宋_GB2312" w:hAnsi="仿宋" w:eastAsia="仿宋_GB2312"/>
          <w:color w:val="000000" w:themeColor="text1"/>
          <w:sz w:val="32"/>
          <w:szCs w:val="32"/>
          <w14:textFill>
            <w14:solidFill>
              <w14:schemeClr w14:val="tx1"/>
            </w14:solidFill>
          </w14:textFill>
        </w:rPr>
        <w:t>竣工管理，</w:t>
      </w:r>
      <w:r>
        <w:rPr>
          <w:rFonts w:hint="eastAsia" w:ascii="仿宋_GB2312" w:hAnsi="仿宋" w:eastAsia="仿宋_GB2312"/>
          <w:color w:val="000000" w:themeColor="text1"/>
          <w:sz w:val="32"/>
          <w:szCs w:val="32"/>
          <w:lang w:val="en-US" w:eastAsia="zh-CN"/>
          <w14:textFill>
            <w14:solidFill>
              <w14:schemeClr w14:val="tx1"/>
            </w14:solidFill>
          </w14:textFill>
        </w:rPr>
        <w:t>2018年9月</w:t>
      </w:r>
      <w:r>
        <w:rPr>
          <w:rFonts w:hint="eastAsia" w:ascii="仿宋_GB2312" w:eastAsia="仿宋_GB2312"/>
          <w:color w:val="000000" w:themeColor="text1"/>
          <w:sz w:val="32"/>
          <w:szCs w:val="32"/>
          <w:lang w:val="en-US" w:eastAsia="zh-CN"/>
          <w14:textFill>
            <w14:solidFill>
              <w14:schemeClr w14:val="tx1"/>
            </w14:solidFill>
          </w14:textFill>
        </w:rPr>
        <w:t>我市</w:t>
      </w:r>
      <w:r>
        <w:rPr>
          <w:rFonts w:hint="eastAsia" w:ascii="仿宋_GB2312" w:hAnsi="Times New Roman" w:eastAsia="仿宋_GB2312"/>
          <w:color w:val="000000" w:themeColor="text1"/>
          <w:sz w:val="32"/>
          <w:szCs w:val="32"/>
          <w:lang w:val="en-US" w:eastAsia="zh-CN"/>
          <w14:textFill>
            <w14:solidFill>
              <w14:schemeClr w14:val="tx1"/>
            </w14:solidFill>
          </w14:textFill>
        </w:rPr>
        <w:t>出台了《深圳市建设用地开工竣工管理办法》（深规土规〔2018〕11号</w:t>
      </w:r>
      <w:r>
        <w:rPr>
          <w:rFonts w:hint="eastAsia" w:ascii="仿宋_GB2312" w:eastAsia="仿宋_GB2312"/>
          <w:color w:val="000000" w:themeColor="text1"/>
          <w:sz w:val="32"/>
          <w:szCs w:val="32"/>
          <w:lang w:val="en-US" w:eastAsia="zh-CN"/>
          <w14:textFill>
            <w14:solidFill>
              <w14:schemeClr w14:val="tx1"/>
            </w14:solidFill>
          </w14:textFill>
        </w:rPr>
        <w:t>，以下简称《管理办法》</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明确了建设项目用地开竣工标准、期限、原因认定及处理原则、监管职责等内容</w:t>
      </w:r>
      <w:r>
        <w:rPr>
          <w:rFonts w:hint="eastAsia" w:ascii="仿宋_GB2312" w:eastAsia="仿宋_GB2312"/>
          <w:color w:val="000000" w:themeColor="text1"/>
          <w:sz w:val="32"/>
          <w:szCs w:val="32"/>
          <w:lang w:val="en-US" w:eastAsia="zh-CN"/>
          <w14:textFill>
            <w14:solidFill>
              <w14:schemeClr w14:val="tx1"/>
            </w14:solidFill>
          </w14:textFill>
        </w:rPr>
        <w:t>。《管理办法》</w:t>
      </w:r>
      <w:r>
        <w:rPr>
          <w:rFonts w:hint="eastAsia" w:ascii="仿宋_GB2312" w:hAnsi="Times New Roman" w:eastAsia="仿宋_GB2312"/>
          <w:color w:val="000000" w:themeColor="text1"/>
          <w:sz w:val="32"/>
          <w:szCs w:val="32"/>
          <w:lang w:val="en-US" w:eastAsia="zh-CN"/>
          <w14:textFill>
            <w14:solidFill>
              <w14:schemeClr w14:val="tx1"/>
            </w14:solidFill>
          </w14:textFill>
        </w:rPr>
        <w:t>对规范国有建设用地供后监管起到了积极作用</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有效指导了我市</w:t>
      </w:r>
      <w:r>
        <w:rPr>
          <w:rFonts w:hint="eastAsia" w:ascii="仿宋_GB2312" w:eastAsia="仿宋_GB2312"/>
          <w:color w:val="000000" w:themeColor="text1"/>
          <w:sz w:val="32"/>
          <w:szCs w:val="32"/>
          <w:lang w:val="en-US" w:eastAsia="zh-CN"/>
          <w14:textFill>
            <w14:solidFill>
              <w14:schemeClr w14:val="tx1"/>
            </w14:solidFill>
          </w14:textFill>
        </w:rPr>
        <w:t>建设用地</w:t>
      </w:r>
      <w:r>
        <w:rPr>
          <w:rFonts w:hint="eastAsia" w:ascii="仿宋_GB2312" w:hAnsi="Times New Roman" w:eastAsia="仿宋_GB2312"/>
          <w:color w:val="000000" w:themeColor="text1"/>
          <w:sz w:val="32"/>
          <w:szCs w:val="32"/>
          <w:lang w:val="en-US" w:eastAsia="zh-CN"/>
          <w14:textFill>
            <w14:solidFill>
              <w14:schemeClr w14:val="tx1"/>
            </w14:solidFill>
          </w14:textFill>
        </w:rPr>
        <w:t>开竣工</w:t>
      </w:r>
      <w:r>
        <w:rPr>
          <w:rFonts w:hint="eastAsia" w:ascii="仿宋_GB2312" w:eastAsia="仿宋_GB2312"/>
          <w:color w:val="000000" w:themeColor="text1"/>
          <w:sz w:val="32"/>
          <w:szCs w:val="32"/>
          <w:lang w:val="en-US" w:eastAsia="zh-CN"/>
          <w14:textFill>
            <w14:solidFill>
              <w14:schemeClr w14:val="tx1"/>
            </w14:solidFill>
          </w14:textFill>
        </w:rPr>
        <w:t>管理</w:t>
      </w:r>
      <w:r>
        <w:rPr>
          <w:rFonts w:hint="eastAsia" w:ascii="仿宋_GB2312" w:hAnsi="Times New Roman" w:eastAsia="仿宋_GB2312"/>
          <w:color w:val="000000" w:themeColor="text1"/>
          <w:sz w:val="32"/>
          <w:szCs w:val="32"/>
          <w:lang w:val="en-US" w:eastAsia="zh-CN"/>
          <w14:textFill>
            <w14:solidFill>
              <w14:schemeClr w14:val="tx1"/>
            </w14:solidFill>
          </w14:textFill>
        </w:rPr>
        <w:t>工作</w:t>
      </w:r>
      <w:r>
        <w:rPr>
          <w:rFonts w:hint="eastAsia" w:ascii="仿宋_GB2312" w:eastAsia="仿宋_GB2312"/>
          <w:color w:val="000000" w:themeColor="text1"/>
          <w:sz w:val="32"/>
          <w:szCs w:val="32"/>
          <w:lang w:val="en-US" w:eastAsia="zh-CN"/>
          <w14:textFill>
            <w14:solidFill>
              <w14:schemeClr w14:val="tx1"/>
            </w14:solidFill>
          </w14:textFill>
        </w:rPr>
        <w:t>。为做好《管理办法》修订工作</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我局</w:t>
      </w:r>
      <w:r>
        <w:rPr>
          <w:rFonts w:hint="eastAsia" w:ascii="仿宋_GB2312" w:hAnsi="仿宋" w:eastAsia="仿宋_GB2312"/>
          <w:color w:val="000000" w:themeColor="text1"/>
          <w:sz w:val="32"/>
          <w:szCs w:val="32"/>
          <w14:textFill>
            <w14:solidFill>
              <w14:schemeClr w14:val="tx1"/>
            </w14:solidFill>
          </w14:textFill>
        </w:rPr>
        <w:t>根据相关法律、法规和政策规定，结合</w:t>
      </w:r>
      <w:r>
        <w:rPr>
          <w:rFonts w:hint="eastAsia" w:ascii="仿宋_GB2312" w:hAnsi="仿宋" w:eastAsia="仿宋_GB2312"/>
          <w:color w:val="000000" w:themeColor="text1"/>
          <w:sz w:val="32"/>
          <w:szCs w:val="32"/>
          <w:lang w:eastAsia="zh-CN"/>
          <w14:textFill>
            <w14:solidFill>
              <w14:schemeClr w14:val="tx1"/>
            </w14:solidFill>
          </w14:textFill>
        </w:rPr>
        <w:t>我市</w:t>
      </w:r>
      <w:r>
        <w:rPr>
          <w:rFonts w:hint="eastAsia" w:ascii="仿宋_GB2312" w:hAnsi="仿宋" w:eastAsia="仿宋_GB2312"/>
          <w:color w:val="000000" w:themeColor="text1"/>
          <w:sz w:val="32"/>
          <w:szCs w:val="32"/>
          <w14:textFill>
            <w14:solidFill>
              <w14:schemeClr w14:val="tx1"/>
            </w14:solidFill>
          </w14:textFill>
        </w:rPr>
        <w:t>实际</w:t>
      </w:r>
      <w:r>
        <w:rPr>
          <w:rFonts w:hint="eastAsia" w:ascii="仿宋_GB2312" w:hAnsi="仿宋" w:eastAsia="仿宋_GB2312"/>
          <w:color w:val="000000" w:themeColor="text1"/>
          <w:sz w:val="32"/>
          <w:szCs w:val="32"/>
          <w:lang w:eastAsia="zh-CN"/>
          <w14:textFill>
            <w14:solidFill>
              <w14:schemeClr w14:val="tx1"/>
            </w14:solidFill>
          </w14:textFill>
        </w:rPr>
        <w:t>，研究</w:t>
      </w:r>
      <w:r>
        <w:rPr>
          <w:rFonts w:hint="eastAsia" w:ascii="仿宋_GB2312" w:hAnsi="Times New Roman" w:eastAsia="仿宋_GB2312"/>
          <w:color w:val="000000" w:themeColor="text1"/>
          <w:sz w:val="32"/>
          <w:szCs w:val="32"/>
          <w:lang w:val="en-US" w:eastAsia="zh-CN"/>
          <w14:textFill>
            <w14:solidFill>
              <w14:schemeClr w14:val="tx1"/>
            </w14:solidFill>
          </w14:textFill>
        </w:rPr>
        <w:t>形成</w:t>
      </w:r>
      <w:r>
        <w:rPr>
          <w:rFonts w:hint="eastAsia" w:ascii="仿宋_GB2312" w:eastAsia="仿宋_GB2312"/>
          <w:color w:val="000000" w:themeColor="text1"/>
          <w:sz w:val="32"/>
          <w:szCs w:val="32"/>
          <w:lang w:val="en-US" w:eastAsia="zh-CN"/>
          <w14:textFill>
            <w14:solidFill>
              <w14:schemeClr w14:val="tx1"/>
            </w14:solidFill>
          </w14:textFill>
        </w:rPr>
        <w:t>了</w:t>
      </w:r>
      <w:r>
        <w:rPr>
          <w:rFonts w:hint="eastAsia" w:ascii="仿宋_GB2312" w:hAnsi="Times New Roman" w:eastAsia="仿宋_GB2312"/>
          <w:b w:val="0"/>
          <w:color w:val="000000" w:themeColor="text1"/>
          <w:sz w:val="32"/>
          <w:szCs w:val="32"/>
          <w14:textFill>
            <w14:solidFill>
              <w14:schemeClr w14:val="tx1"/>
            </w14:solidFill>
          </w14:textFill>
        </w:rPr>
        <w:t>《深圳市建设用地开工竣工管理办法</w:t>
      </w:r>
      <w:r>
        <w:rPr>
          <w:rFonts w:hint="eastAsia" w:ascii="仿宋_GB2312" w:eastAsia="仿宋_GB2312"/>
          <w:b w:val="0"/>
          <w:color w:val="000000" w:themeColor="text1"/>
          <w:sz w:val="32"/>
          <w:szCs w:val="32"/>
          <w:lang w:eastAsia="zh-CN"/>
          <w14:textFill>
            <w14:solidFill>
              <w14:schemeClr w14:val="tx1"/>
            </w14:solidFill>
          </w14:textFill>
        </w:rPr>
        <w:t>（</w:t>
      </w:r>
      <w:r>
        <w:rPr>
          <w:rFonts w:hint="eastAsia" w:ascii="仿宋_GB2312" w:eastAsia="仿宋_GB2312"/>
          <w:b w:val="0"/>
          <w:color w:val="000000" w:themeColor="text1"/>
          <w:sz w:val="32"/>
          <w:szCs w:val="32"/>
          <w:lang w:val="en-US" w:eastAsia="zh-CN"/>
          <w14:textFill>
            <w14:solidFill>
              <w14:schemeClr w14:val="tx1"/>
            </w14:solidFill>
          </w14:textFill>
        </w:rPr>
        <w:t>修订稿</w:t>
      </w:r>
      <w:r>
        <w:rPr>
          <w:rFonts w:hint="eastAsia" w:ascii="仿宋_GB2312" w:eastAsia="仿宋_GB2312"/>
          <w:b w:val="0"/>
          <w:color w:val="000000" w:themeColor="text1"/>
          <w:sz w:val="32"/>
          <w:szCs w:val="32"/>
          <w:lang w:eastAsia="zh-CN"/>
          <w14:textFill>
            <w14:solidFill>
              <w14:schemeClr w14:val="tx1"/>
            </w14:solidFill>
          </w14:textFill>
        </w:rPr>
        <w:t>）</w:t>
      </w:r>
      <w:r>
        <w:rPr>
          <w:rFonts w:hint="eastAsia" w:ascii="仿宋_GB2312" w:hAnsi="Times New Roman" w:eastAsia="仿宋_GB2312"/>
          <w:b w:val="0"/>
          <w:color w:val="000000" w:themeColor="text1"/>
          <w:sz w:val="32"/>
          <w:szCs w:val="32"/>
          <w14:textFill>
            <w14:solidFill>
              <w14:schemeClr w14:val="tx1"/>
            </w14:solidFill>
          </w14:textFill>
        </w:rPr>
        <w:t>》</w:t>
      </w:r>
      <w:r>
        <w:rPr>
          <w:rFonts w:hint="eastAsia" w:ascii="仿宋_GB2312" w:eastAsia="仿宋_GB2312"/>
          <w:b w:val="0"/>
          <w:color w:val="000000" w:themeColor="text1"/>
          <w:sz w:val="32"/>
          <w:szCs w:val="32"/>
          <w:lang w:eastAsia="zh-CN"/>
          <w14:textFill>
            <w14:solidFill>
              <w14:schemeClr w14:val="tx1"/>
            </w14:solidFill>
          </w14:textFill>
        </w:rPr>
        <w:t>（</w:t>
      </w:r>
      <w:r>
        <w:rPr>
          <w:rFonts w:hint="eastAsia" w:ascii="仿宋_GB2312" w:eastAsia="仿宋_GB2312"/>
          <w:b w:val="0"/>
          <w:color w:val="000000" w:themeColor="text1"/>
          <w:sz w:val="32"/>
          <w:szCs w:val="32"/>
          <w:lang w:val="en-US" w:eastAsia="zh-CN"/>
          <w14:textFill>
            <w14:solidFill>
              <w14:schemeClr w14:val="tx1"/>
            </w14:solidFill>
          </w14:textFill>
        </w:rPr>
        <w:t>以下简称《管理办法（修订稿）》）。现将</w:t>
      </w:r>
      <w:r>
        <w:rPr>
          <w:rFonts w:hint="eastAsia" w:ascii="仿宋_GB2312" w:hAnsi="仿宋" w:eastAsia="仿宋_GB2312"/>
          <w:color w:val="000000" w:themeColor="text1"/>
          <w:sz w:val="32"/>
          <w:szCs w:val="32"/>
          <w14:textFill>
            <w14:solidFill>
              <w14:schemeClr w14:val="tx1"/>
            </w14:solidFill>
          </w14:textFill>
        </w:rPr>
        <w:t>修订情况说明如下：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一、修订背景</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2021年6月，自然资源部印发《关于建立土地利用动态巡查制度加强建设用地供后开发利用全程监管的通知》（自然资办函〔2021〕1149号），要求建立土地利用动态巡查制度，建立建设项目跟踪、开竣工预警提醒、开竣工申报、现场核查等制度，切实加强建设用地供后开发利用全程监管。</w:t>
      </w:r>
      <w:r>
        <w:rPr>
          <w:rFonts w:hint="default" w:ascii="仿宋_GB2312" w:hAnsi="Times New Roman" w:eastAsia="仿宋_GB2312"/>
          <w:color w:val="000000" w:themeColor="text1"/>
          <w:sz w:val="32"/>
          <w:szCs w:val="32"/>
          <w:lang w:val="en-US" w:eastAsia="zh-CN"/>
          <w14:textFill>
            <w14:solidFill>
              <w14:schemeClr w14:val="tx1"/>
            </w14:solidFill>
          </w14:textFill>
        </w:rPr>
        <w:t>为加强建设用地供后监管，督促土地使用权人</w:t>
      </w:r>
      <w:r>
        <w:rPr>
          <w:rFonts w:hint="eastAsia" w:ascii="仿宋_GB2312" w:eastAsia="仿宋_GB2312"/>
          <w:color w:val="000000" w:themeColor="text1"/>
          <w:sz w:val="32"/>
          <w:szCs w:val="32"/>
          <w:lang w:val="en-US" w:eastAsia="zh-CN"/>
          <w14:textFill>
            <w14:solidFill>
              <w14:schemeClr w14:val="tx1"/>
            </w14:solidFill>
          </w14:textFill>
        </w:rPr>
        <w:t>按期</w:t>
      </w:r>
      <w:r>
        <w:rPr>
          <w:rFonts w:hint="default" w:ascii="仿宋_GB2312" w:hAnsi="Times New Roman" w:eastAsia="仿宋_GB2312"/>
          <w:color w:val="000000" w:themeColor="text1"/>
          <w:sz w:val="32"/>
          <w:szCs w:val="32"/>
          <w:lang w:val="en-US" w:eastAsia="zh-CN"/>
          <w14:textFill>
            <w14:solidFill>
              <w14:schemeClr w14:val="tx1"/>
            </w14:solidFill>
          </w14:textFill>
        </w:rPr>
        <w:t>开发建设，规范开竣工管理，需从政策制度上进一步加以规范完善。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《管理办法》在近五年实施过程中，严格土地批后开竣工管理，切实有效提高了土地</w:t>
      </w:r>
      <w:r>
        <w:rPr>
          <w:rFonts w:hint="eastAsia" w:ascii="仿宋_GB2312" w:eastAsia="仿宋_GB2312"/>
          <w:sz w:val="32"/>
          <w:szCs w:val="32"/>
          <w:lang w:eastAsia="zh-CN"/>
        </w:rPr>
        <w:t>开发利用效率，</w:t>
      </w:r>
      <w:r>
        <w:rPr>
          <w:rFonts w:hint="eastAsia" w:ascii="仿宋_GB2312" w:eastAsia="仿宋_GB2312"/>
          <w:color w:val="000000" w:themeColor="text1"/>
          <w:sz w:val="32"/>
          <w:szCs w:val="32"/>
          <w:lang w:val="en-US" w:eastAsia="zh-CN"/>
          <w14:textFill>
            <w14:solidFill>
              <w14:schemeClr w14:val="tx1"/>
            </w14:solidFill>
          </w14:textFill>
        </w:rPr>
        <w:t>但也遇到了一些新情况、新问题，需要进一步解释说明，明确处理规则。本次修订通过对政策进行评估，总结经验，及时调整开竣工规定，提高政策实施的有效性，加强土地供应批后监管工作。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olor w:val="000000" w:themeColor="text1"/>
          <w:sz w:val="32"/>
          <w:szCs w:val="32"/>
          <w:lang w:val="en-US" w:eastAsia="zh-CN"/>
          <w14:textFill>
            <w14:solidFill>
              <w14:schemeClr w14:val="tx1"/>
            </w14:solidFill>
          </w14:textFill>
        </w:rPr>
        <w:t>修订的主要</w:t>
      </w:r>
      <w:r>
        <w:rPr>
          <w:rFonts w:hint="eastAsia" w:ascii="黑体" w:hAnsi="黑体" w:eastAsia="黑体"/>
          <w:color w:val="000000" w:themeColor="text1"/>
          <w:sz w:val="32"/>
          <w:szCs w:val="32"/>
          <w14:textFill>
            <w14:solidFill>
              <w14:schemeClr w14:val="tx1"/>
            </w14:solidFill>
          </w14:textFill>
        </w:rPr>
        <w:t>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《管理办法</w:t>
      </w:r>
      <w:r>
        <w:rPr>
          <w:rFonts w:hint="eastAsia" w:ascii="仿宋_GB2312" w:eastAsia="仿宋_GB2312"/>
          <w:color w:val="000000" w:themeColor="text1"/>
          <w:sz w:val="32"/>
          <w:szCs w:val="32"/>
          <w:lang w:eastAsia="zh-CN"/>
          <w14:textFill>
            <w14:solidFill>
              <w14:schemeClr w14:val="tx1"/>
            </w14:solidFill>
          </w14:textFill>
        </w:rPr>
        <w:t>（修订稿）</w:t>
      </w:r>
      <w:r>
        <w:rPr>
          <w:rFonts w:hint="eastAsia" w:ascii="仿宋_GB2312" w:hAnsi="Times New Roman"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eastAsia="zh-CN"/>
          <w14:textFill>
            <w14:solidFill>
              <w14:schemeClr w14:val="tx1"/>
            </w14:solidFill>
          </w14:textFill>
        </w:rPr>
        <w:t>原有</w:t>
      </w:r>
      <w:r>
        <w:rPr>
          <w:rFonts w:hint="eastAsia" w:ascii="仿宋_GB2312" w:hAnsi="Times New Roman" w:eastAsia="仿宋_GB2312"/>
          <w:color w:val="000000" w:themeColor="text1"/>
          <w:sz w:val="32"/>
          <w:szCs w:val="32"/>
          <w14:textFill>
            <w14:solidFill>
              <w14:schemeClr w14:val="tx1"/>
            </w14:solidFill>
          </w14:textFill>
        </w:rPr>
        <w:t>政策基础上，通过对竣工</w:t>
      </w:r>
      <w:r>
        <w:rPr>
          <w:rFonts w:hint="eastAsia" w:ascii="仿宋_GB2312" w:eastAsia="仿宋_GB2312"/>
          <w:color w:val="000000" w:themeColor="text1"/>
          <w:sz w:val="32"/>
          <w:szCs w:val="32"/>
          <w:lang w:val="en-US" w:eastAsia="zh-CN"/>
          <w14:textFill>
            <w14:solidFill>
              <w14:schemeClr w14:val="tx1"/>
            </w14:solidFill>
          </w14:textFill>
        </w:rPr>
        <w:t>定义</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开竣工期限、</w:t>
      </w:r>
      <w:r>
        <w:rPr>
          <w:rFonts w:hint="eastAsia" w:ascii="仿宋_GB2312" w:hAnsi="Times New Roman" w:eastAsia="仿宋_GB2312"/>
          <w:color w:val="000000" w:themeColor="text1"/>
          <w:sz w:val="32"/>
          <w:szCs w:val="32"/>
          <w14:textFill>
            <w14:solidFill>
              <w14:schemeClr w14:val="tx1"/>
            </w14:solidFill>
          </w14:textFill>
        </w:rPr>
        <w:t>违约</w:t>
      </w:r>
      <w:r>
        <w:rPr>
          <w:rFonts w:hint="eastAsia" w:ascii="仿宋_GB2312" w:eastAsia="仿宋_GB2312"/>
          <w:color w:val="000000" w:themeColor="text1"/>
          <w:sz w:val="32"/>
          <w:szCs w:val="32"/>
          <w:lang w:val="en-US" w:eastAsia="zh-CN"/>
          <w14:textFill>
            <w14:solidFill>
              <w14:schemeClr w14:val="tx1"/>
            </w14:solidFill>
          </w14:textFill>
        </w:rPr>
        <w:t>金计收</w:t>
      </w:r>
      <w:r>
        <w:rPr>
          <w:rFonts w:hint="eastAsia" w:ascii="仿宋_GB2312" w:hAnsi="Times New Roman" w:eastAsia="仿宋_GB2312"/>
          <w:color w:val="000000" w:themeColor="text1"/>
          <w:sz w:val="32"/>
          <w:szCs w:val="32"/>
          <w14:textFill>
            <w14:solidFill>
              <w14:schemeClr w14:val="tx1"/>
            </w14:solidFill>
          </w14:textFill>
        </w:rPr>
        <w:t>等内容进行</w:t>
      </w:r>
      <w:r>
        <w:rPr>
          <w:rFonts w:hint="eastAsia" w:ascii="仿宋_GB2312" w:eastAsia="仿宋_GB2312"/>
          <w:color w:val="000000" w:themeColor="text1"/>
          <w:sz w:val="32"/>
          <w:szCs w:val="32"/>
          <w:lang w:val="en-US" w:eastAsia="zh-CN"/>
          <w14:textFill>
            <w14:solidFill>
              <w14:schemeClr w14:val="tx1"/>
            </w14:solidFill>
          </w14:textFill>
        </w:rPr>
        <w:t>修改完善</w:t>
      </w:r>
      <w:r>
        <w:rPr>
          <w:rFonts w:hint="eastAsia" w:ascii="仿宋_GB2312" w:hAnsi="Times New Roman" w:eastAsia="仿宋_GB2312"/>
          <w:color w:val="000000" w:themeColor="text1"/>
          <w:sz w:val="32"/>
          <w:szCs w:val="32"/>
          <w14:textFill>
            <w14:solidFill>
              <w14:schemeClr w14:val="tx1"/>
            </w14:solidFill>
          </w14:textFill>
        </w:rPr>
        <w:t>，进一步规范建设用地开竣工管理</w:t>
      </w:r>
      <w:r>
        <w:rPr>
          <w:rFonts w:hint="eastAsia" w:ascii="仿宋_GB2312" w:eastAsia="仿宋_GB2312"/>
          <w:color w:val="000000" w:themeColor="text1"/>
          <w:sz w:val="32"/>
          <w:szCs w:val="32"/>
          <w:lang w:eastAsia="zh-CN"/>
          <w14:textFill>
            <w14:solidFill>
              <w14:schemeClr w14:val="tx1"/>
            </w14:solidFill>
          </w14:textFill>
        </w:rPr>
        <w:t>。修订的</w:t>
      </w:r>
      <w:r>
        <w:rPr>
          <w:rFonts w:hint="eastAsia" w:ascii="仿宋_GB2312" w:hAnsi="Times New Roman" w:eastAsia="仿宋_GB2312"/>
          <w:color w:val="000000" w:themeColor="text1"/>
          <w:sz w:val="32"/>
          <w:szCs w:val="32"/>
          <w14:textFill>
            <w14:solidFill>
              <w14:schemeClr w14:val="tx1"/>
            </w14:solidFill>
          </w14:textFill>
        </w:rPr>
        <w:t>主要内容如下：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（一）</w:t>
      </w:r>
      <w:r>
        <w:rPr>
          <w:rFonts w:hint="eastAsia" w:ascii="楷体_GB2312" w:eastAsia="楷体_GB2312"/>
          <w:color w:val="000000" w:themeColor="text1"/>
          <w:sz w:val="32"/>
          <w:szCs w:val="32"/>
          <w:lang w:val="en-US" w:eastAsia="zh-CN"/>
          <w14:textFill>
            <w14:solidFill>
              <w14:schemeClr w14:val="tx1"/>
            </w14:solidFill>
          </w14:textFill>
        </w:rPr>
        <w:t>进一步明确</w:t>
      </w:r>
      <w:r>
        <w:rPr>
          <w:rFonts w:hint="eastAsia" w:ascii="楷体_GB2312" w:hAnsi="Times New Roman" w:eastAsia="楷体_GB2312"/>
          <w:color w:val="000000" w:themeColor="text1"/>
          <w:sz w:val="32"/>
          <w:szCs w:val="32"/>
          <w14:textFill>
            <w14:solidFill>
              <w14:schemeClr w14:val="tx1"/>
            </w14:solidFill>
          </w14:textFill>
        </w:rPr>
        <w:t>竣工定义</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eastAsia="zh-CN"/>
          <w14:textFill>
            <w14:solidFill>
              <w14:schemeClr w14:val="tx1"/>
            </w14:solidFill>
          </w14:textFill>
        </w:rPr>
        <w:t>为衔接</w:t>
      </w:r>
      <w:r>
        <w:rPr>
          <w:rFonts w:hint="eastAsia" w:ascii="仿宋_GB2312" w:eastAsia="仿宋_GB2312"/>
          <w:color w:val="000000" w:themeColor="text1"/>
          <w:sz w:val="32"/>
          <w:szCs w:val="32"/>
          <w:lang w:val="en-US" w:eastAsia="zh-CN"/>
          <w14:textFill>
            <w14:solidFill>
              <w14:schemeClr w14:val="tx1"/>
            </w14:solidFill>
          </w14:textFill>
        </w:rPr>
        <w:t>《深圳市建设工程竣工联合验收管理办法》相关规定，</w:t>
      </w:r>
      <w:r>
        <w:rPr>
          <w:rFonts w:hint="default" w:ascii="仿宋_GB2312" w:eastAsia="仿宋_GB2312"/>
          <w:color w:val="000000" w:themeColor="text1"/>
          <w:sz w:val="32"/>
          <w:szCs w:val="32"/>
          <w:lang w:val="en-US" w:eastAsia="zh-CN"/>
          <w14:textFill>
            <w14:solidFill>
              <w14:schemeClr w14:val="tx1"/>
            </w14:solidFill>
          </w14:textFill>
        </w:rPr>
        <w:t>适应现行操作程序</w:t>
      </w:r>
      <w:r>
        <w:rPr>
          <w:rFonts w:hint="eastAsia" w:ascii="仿宋_GB2312" w:eastAsia="仿宋_GB2312"/>
          <w:color w:val="000000" w:themeColor="text1"/>
          <w:sz w:val="32"/>
          <w:szCs w:val="32"/>
          <w:lang w:val="en-US" w:eastAsia="zh-CN"/>
          <w14:textFill>
            <w14:solidFill>
              <w14:schemeClr w14:val="tx1"/>
            </w14:solidFill>
          </w14:textFill>
        </w:rPr>
        <w:t>，《管理办法（修订稿）》将</w:t>
      </w:r>
      <w:r>
        <w:rPr>
          <w:rFonts w:hint="default" w:ascii="仿宋_GB2312" w:eastAsia="仿宋_GB2312"/>
          <w:color w:val="000000" w:themeColor="text1"/>
          <w:sz w:val="32"/>
          <w:szCs w:val="32"/>
          <w:lang w:val="en-US" w:eastAsia="zh-CN"/>
          <w14:textFill>
            <w14:solidFill>
              <w14:schemeClr w14:val="tx1"/>
            </w14:solidFill>
          </w14:textFill>
        </w:rPr>
        <w:t>竣工定义</w:t>
      </w:r>
      <w:r>
        <w:rPr>
          <w:rFonts w:hint="eastAsia" w:ascii="仿宋_GB2312" w:eastAsia="仿宋_GB2312"/>
          <w:color w:val="000000" w:themeColor="text1"/>
          <w:sz w:val="32"/>
          <w:szCs w:val="32"/>
          <w:lang w:val="en-US" w:eastAsia="zh-CN"/>
          <w14:textFill>
            <w14:solidFill>
              <w14:schemeClr w14:val="tx1"/>
            </w14:solidFill>
          </w14:textFill>
        </w:rPr>
        <w:t>修改为</w:t>
      </w:r>
      <w:r>
        <w:rPr>
          <w:rFonts w:hint="eastAsia" w:ascii="仿宋_GB2312" w:eastAsia="仿宋_GB2312"/>
          <w:b w:val="0"/>
          <w:bCs w:val="0"/>
          <w:sz w:val="32"/>
          <w:szCs w:val="32"/>
        </w:rPr>
        <w:t>土地使用权人</w:t>
      </w:r>
      <w:r>
        <w:rPr>
          <w:rFonts w:hint="eastAsia" w:ascii="仿宋_GB2312" w:eastAsia="仿宋_GB2312"/>
          <w:sz w:val="32"/>
          <w:szCs w:val="32"/>
        </w:rPr>
        <w:t>依法取得整宗地</w:t>
      </w:r>
      <w:r>
        <w:rPr>
          <w:rFonts w:hint="default" w:ascii="仿宋_GB2312" w:eastAsia="仿宋_GB2312"/>
          <w:sz w:val="32"/>
          <w:szCs w:val="32"/>
        </w:rPr>
        <w:t>的</w:t>
      </w:r>
      <w:r>
        <w:rPr>
          <w:rFonts w:hint="default" w:ascii="仿宋_GB2312" w:eastAsia="仿宋_GB2312"/>
          <w:sz w:val="32"/>
          <w:szCs w:val="32"/>
          <w:lang w:val="en"/>
        </w:rPr>
        <w:t>规划条件核实或</w:t>
      </w:r>
      <w:r>
        <w:rPr>
          <w:rFonts w:hint="eastAsia" w:ascii="仿宋_GB2312" w:eastAsia="仿宋_GB2312"/>
          <w:b w:val="0"/>
          <w:bCs w:val="0"/>
          <w:sz w:val="32"/>
          <w:szCs w:val="32"/>
          <w:lang w:val="en-US" w:eastAsia="zh-CN"/>
        </w:rPr>
        <w:t>竣工验收</w:t>
      </w:r>
      <w:r>
        <w:rPr>
          <w:rFonts w:hint="default" w:ascii="仿宋_GB2312" w:eastAsia="仿宋_GB2312"/>
          <w:b w:val="0"/>
          <w:bCs w:val="0"/>
          <w:sz w:val="32"/>
          <w:szCs w:val="32"/>
          <w:lang w:val="en" w:eastAsia="zh-CN"/>
        </w:rPr>
        <w:t>备案相关证明</w:t>
      </w:r>
      <w:r>
        <w:rPr>
          <w:rFonts w:hint="eastAsia" w:ascii="仿宋_GB2312" w:eastAsia="仿宋_GB2312"/>
          <w:b w:val="0"/>
          <w:bCs w:val="0"/>
          <w:sz w:val="32"/>
          <w:szCs w:val="32"/>
          <w:lang w:val="en-US" w:eastAsia="zh-CN"/>
        </w:rPr>
        <w:t>文件</w:t>
      </w:r>
      <w:r>
        <w:rPr>
          <w:rFonts w:hint="eastAsia" w:ascii="仿宋_GB2312"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Times New Roman" w:eastAsia="楷体_GB2312"/>
          <w:color w:val="000000" w:themeColor="text1"/>
          <w:sz w:val="32"/>
          <w:szCs w:val="32"/>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二</w:t>
      </w: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规范</w:t>
      </w:r>
      <w:r>
        <w:rPr>
          <w:rFonts w:hint="eastAsia" w:ascii="楷体_GB2312" w:hAnsi="Times New Roman" w:eastAsia="楷体_GB2312"/>
          <w:color w:val="000000" w:themeColor="text1"/>
          <w:sz w:val="32"/>
          <w:szCs w:val="32"/>
          <w14:textFill>
            <w14:solidFill>
              <w14:schemeClr w14:val="tx1"/>
            </w14:solidFill>
          </w14:textFill>
        </w:rPr>
        <w:t>建设项目开竣工期限</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是明确主体功能为非住房类但含居住功能的建设项目，居住部分开工、竣工期限按住房类建设项目执行，其他用途部分仍按原有规定执行。二是对于建设项目竣工前后申请提高容积率的情形，分别明确建设项目重新核算开工、竣工期限规则。三是增加线性工程（道路、综合管廊等）用地的开工、竣工期限确定规则，线性工程项目应于合同签订之日起1年内开工，竣工时间根据项目可行性研究报告论证阶段发改部门</w:t>
      </w:r>
      <w:r>
        <w:rPr>
          <w:rFonts w:hint="eastAsia" w:ascii="仿宋_GB2312" w:eastAsia="仿宋_GB2312"/>
          <w:color w:val="000000" w:themeColor="text1"/>
          <w:sz w:val="32"/>
          <w:szCs w:val="32"/>
          <w14:textFill>
            <w14:solidFill>
              <w14:schemeClr w14:val="tx1"/>
            </w14:solidFill>
          </w14:textFill>
        </w:rPr>
        <w:t>批复的</w:t>
      </w:r>
      <w:r>
        <w:rPr>
          <w:rFonts w:hint="eastAsia" w:ascii="仿宋_GB2312" w:eastAsia="仿宋_GB2312"/>
          <w:color w:val="000000" w:themeColor="text1"/>
          <w:sz w:val="32"/>
          <w:szCs w:val="32"/>
          <w:lang w:val="en-US" w:eastAsia="zh-CN"/>
          <w14:textFill>
            <w14:solidFill>
              <w14:schemeClr w14:val="tx1"/>
            </w14:solidFill>
          </w14:textFill>
        </w:rPr>
        <w:t>建设周期确定。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楷体_GB2312" w:hAnsi="Times New Roman" w:eastAsia="楷体_GB2312"/>
          <w:color w:val="000000" w:themeColor="text1"/>
          <w:sz w:val="32"/>
          <w:szCs w:val="32"/>
          <w:lang w:val="en-US" w:eastAsia="zh-CN"/>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三</w:t>
      </w: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优化违约金计收规则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在保持违约金计收标准不变的情况下，将违约金计收周期由3个月调整为以月为周期，违约金标准由每延长3个月按合同有偿使用价款的1.5%计收调整为每延长1个月按合同有偿使用价款的0.5%计收。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楷体_GB2312" w:hAnsi="Times New Roman" w:eastAsia="楷体_GB2312"/>
          <w:color w:val="000000" w:themeColor="text1"/>
          <w:sz w:val="32"/>
          <w:szCs w:val="32"/>
          <w:lang w:val="en-US" w:eastAsia="zh-CN"/>
          <w14:textFill>
            <w14:solidFill>
              <w14:schemeClr w14:val="tx1"/>
            </w14:solidFill>
          </w14:textFill>
        </w:rPr>
      </w:pP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四</w:t>
      </w:r>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明确违约金计收基数</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color w:val="000000" w:themeColor="text1"/>
          <w:sz w:val="32"/>
          <w:szCs w:val="32"/>
          <w:lang w:val="en-US" w:eastAsia="zh-CN"/>
          <w14:textFill>
            <w14:solidFill>
              <w14:schemeClr w14:val="tx1"/>
            </w14:solidFill>
          </w14:textFill>
        </w:rPr>
        <w:t>结合实际情况，明确</w:t>
      </w:r>
      <w:r>
        <w:rPr>
          <w:rFonts w:hint="eastAsia" w:ascii="仿宋_GB2312" w:eastAsia="仿宋_GB2312"/>
          <w:sz w:val="32"/>
          <w:szCs w:val="32"/>
        </w:rPr>
        <w:t>竣工违约金以</w:t>
      </w:r>
      <w:r>
        <w:rPr>
          <w:rFonts w:hint="eastAsia" w:ascii="仿宋_GB2312" w:eastAsia="仿宋_GB2312"/>
          <w:sz w:val="32"/>
          <w:szCs w:val="32"/>
          <w:lang w:eastAsia="zh-CN"/>
        </w:rPr>
        <w:t>供应合同</w:t>
      </w:r>
      <w:r>
        <w:rPr>
          <w:rFonts w:hint="eastAsia" w:ascii="仿宋_GB2312" w:eastAsia="仿宋_GB2312"/>
          <w:sz w:val="32"/>
          <w:szCs w:val="32"/>
        </w:rPr>
        <w:t>为依据。供应合同约定以土地出让金为基数计收的，供应合同有明确土地出让金的，违约基数按供应合同约定的土地出让金确定；供应合同未</w:t>
      </w:r>
      <w:r>
        <w:rPr>
          <w:rFonts w:hint="eastAsia" w:ascii="仿宋_GB2312" w:eastAsia="仿宋_GB2312"/>
          <w:sz w:val="32"/>
          <w:szCs w:val="32"/>
          <w:lang w:eastAsia="zh-CN"/>
        </w:rPr>
        <w:t>明确</w:t>
      </w:r>
      <w:r>
        <w:rPr>
          <w:rFonts w:hint="eastAsia" w:ascii="仿宋_GB2312" w:eastAsia="仿宋_GB2312"/>
          <w:sz w:val="32"/>
          <w:szCs w:val="32"/>
        </w:rPr>
        <w:t>土地出让金的，土地出让金按供应合同有偿使用价款的15%确定。供应合同约定以有偿使用价款为基数计收的，违约基数按供应合同约定的有偿使用价款确定。</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楷体_GB2312" w:hAnsi="Times New Roman" w:eastAsia="楷体_GB2312"/>
          <w:color w:val="000000" w:themeColor="text1"/>
          <w:sz w:val="32"/>
          <w:szCs w:val="32"/>
          <w14:textFill>
            <w14:solidFill>
              <w14:schemeClr w14:val="tx1"/>
            </w14:solidFill>
          </w14:textFill>
        </w:rPr>
      </w:pPr>
      <w:bookmarkStart w:id="0" w:name="_GoBack"/>
      <w:bookmarkEnd w:id="0"/>
      <w:r>
        <w:rPr>
          <w:rFonts w:hint="eastAsia" w:ascii="楷体_GB2312" w:hAnsi="Times New Roman" w:eastAsia="楷体_GB2312"/>
          <w:color w:val="000000" w:themeColor="text1"/>
          <w:sz w:val="32"/>
          <w:szCs w:val="32"/>
          <w14:textFill>
            <w14:solidFill>
              <w14:schemeClr w14:val="tx1"/>
            </w14:solidFill>
          </w14:textFill>
        </w:rPr>
        <w:t>（</w:t>
      </w:r>
      <w:r>
        <w:rPr>
          <w:rFonts w:hint="eastAsia" w:ascii="楷体_GB2312" w:eastAsia="楷体_GB2312"/>
          <w:color w:val="000000" w:themeColor="text1"/>
          <w:sz w:val="32"/>
          <w:szCs w:val="32"/>
          <w:lang w:val="en-US" w:eastAsia="zh-CN"/>
          <w14:textFill>
            <w14:solidFill>
              <w14:schemeClr w14:val="tx1"/>
            </w14:solidFill>
          </w14:textFill>
        </w:rPr>
        <w:t>五</w:t>
      </w:r>
      <w:r>
        <w:rPr>
          <w:rFonts w:hint="eastAsia" w:ascii="楷体_GB2312" w:hAnsi="Times New Roman" w:eastAsia="楷体_GB2312"/>
          <w:color w:val="000000" w:themeColor="text1"/>
          <w:sz w:val="32"/>
          <w:szCs w:val="32"/>
          <w14:textFill>
            <w14:solidFill>
              <w14:schemeClr w14:val="tx1"/>
            </w14:solidFill>
          </w14:textFill>
        </w:rPr>
        <w:t>）关于新旧政策衔接问题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本办法实施前已签订供应合同但还未竣工的建设项目，因无法按时竣工申请竣工延期或实际竣工逾期的，违约责任按供应合同约定执行；供应合同未约定或约定不明的，按照本办法执行。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专此说明。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仿宋-GB2312" w:hAnsi="仿宋-GB2312" w:eastAsia="仿宋-GB2312" w:cs="仿宋-GB2312"/>
        <w:sz w:val="24"/>
        <w:szCs w:val="24"/>
      </w:rPr>
      <w:fldChar w:fldCharType="begin"/>
    </w:r>
    <w:r>
      <w:rPr>
        <w:rFonts w:hint="eastAsia" w:ascii="仿宋-GB2312" w:hAnsi="仿宋-GB2312" w:eastAsia="仿宋-GB2312" w:cs="仿宋-GB2312"/>
        <w:sz w:val="24"/>
        <w:szCs w:val="24"/>
      </w:rPr>
      <w:instrText xml:space="preserve">PAGE   \* MERGEFORMAT</w:instrText>
    </w:r>
    <w:r>
      <w:rPr>
        <w:rFonts w:hint="eastAsia" w:ascii="仿宋-GB2312" w:hAnsi="仿宋-GB2312" w:eastAsia="仿宋-GB2312" w:cs="仿宋-GB2312"/>
        <w:sz w:val="24"/>
        <w:szCs w:val="24"/>
      </w:rPr>
      <w:fldChar w:fldCharType="separate"/>
    </w:r>
    <w:r>
      <w:rPr>
        <w:rFonts w:hint="eastAsia" w:ascii="仿宋-GB2312" w:hAnsi="仿宋-GB2312" w:eastAsia="仿宋-GB2312" w:cs="仿宋-GB2312"/>
        <w:sz w:val="24"/>
        <w:szCs w:val="24"/>
        <w:lang w:val="zh-CN"/>
      </w:rPr>
      <w:t>1</w:t>
    </w:r>
    <w:r>
      <w:rPr>
        <w:rFonts w:hint="eastAsia" w:ascii="仿宋-GB2312" w:hAnsi="仿宋-GB2312" w:eastAsia="仿宋-GB2312" w:cs="仿宋-GB2312"/>
        <w:sz w:val="24"/>
        <w:szCs w:val="24"/>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C040D"/>
    <w:rsid w:val="00011F02"/>
    <w:rsid w:val="000225EC"/>
    <w:rsid w:val="00043389"/>
    <w:rsid w:val="00073930"/>
    <w:rsid w:val="000740AA"/>
    <w:rsid w:val="00094948"/>
    <w:rsid w:val="000A0EA1"/>
    <w:rsid w:val="000D3777"/>
    <w:rsid w:val="000E0A40"/>
    <w:rsid w:val="00103594"/>
    <w:rsid w:val="00106C49"/>
    <w:rsid w:val="00153EBB"/>
    <w:rsid w:val="00175A10"/>
    <w:rsid w:val="00180B1D"/>
    <w:rsid w:val="00183DE6"/>
    <w:rsid w:val="001A2533"/>
    <w:rsid w:val="001A3C30"/>
    <w:rsid w:val="001C7FA0"/>
    <w:rsid w:val="001D4FA0"/>
    <w:rsid w:val="001E11B9"/>
    <w:rsid w:val="001E1414"/>
    <w:rsid w:val="001F36F8"/>
    <w:rsid w:val="001F5630"/>
    <w:rsid w:val="00225111"/>
    <w:rsid w:val="00232355"/>
    <w:rsid w:val="0024561B"/>
    <w:rsid w:val="002463FF"/>
    <w:rsid w:val="00297BC3"/>
    <w:rsid w:val="00297CA9"/>
    <w:rsid w:val="002B7162"/>
    <w:rsid w:val="002D6B54"/>
    <w:rsid w:val="002E1401"/>
    <w:rsid w:val="002F01AF"/>
    <w:rsid w:val="0030267C"/>
    <w:rsid w:val="00316E61"/>
    <w:rsid w:val="003355DB"/>
    <w:rsid w:val="003621B6"/>
    <w:rsid w:val="003647CE"/>
    <w:rsid w:val="00370305"/>
    <w:rsid w:val="00370E4F"/>
    <w:rsid w:val="00373020"/>
    <w:rsid w:val="00380483"/>
    <w:rsid w:val="00387D09"/>
    <w:rsid w:val="00391837"/>
    <w:rsid w:val="00395BC2"/>
    <w:rsid w:val="003A4D9E"/>
    <w:rsid w:val="003B7359"/>
    <w:rsid w:val="003C040D"/>
    <w:rsid w:val="003D5013"/>
    <w:rsid w:val="003E4FC3"/>
    <w:rsid w:val="003E5320"/>
    <w:rsid w:val="003F21ED"/>
    <w:rsid w:val="004058EC"/>
    <w:rsid w:val="00413B7D"/>
    <w:rsid w:val="0044573B"/>
    <w:rsid w:val="00453DEE"/>
    <w:rsid w:val="00474C9E"/>
    <w:rsid w:val="00484674"/>
    <w:rsid w:val="00487CA6"/>
    <w:rsid w:val="00490C75"/>
    <w:rsid w:val="004A5CF2"/>
    <w:rsid w:val="00560192"/>
    <w:rsid w:val="00566FFD"/>
    <w:rsid w:val="00567702"/>
    <w:rsid w:val="00580C84"/>
    <w:rsid w:val="005C54A1"/>
    <w:rsid w:val="005D4BD4"/>
    <w:rsid w:val="005E2B8D"/>
    <w:rsid w:val="005F27B6"/>
    <w:rsid w:val="005F2CA0"/>
    <w:rsid w:val="00601961"/>
    <w:rsid w:val="00612863"/>
    <w:rsid w:val="00634A3F"/>
    <w:rsid w:val="00634A82"/>
    <w:rsid w:val="00634BF8"/>
    <w:rsid w:val="00640C5E"/>
    <w:rsid w:val="006828FC"/>
    <w:rsid w:val="006857AE"/>
    <w:rsid w:val="0069172A"/>
    <w:rsid w:val="006A02E2"/>
    <w:rsid w:val="006B2568"/>
    <w:rsid w:val="006C02E3"/>
    <w:rsid w:val="00732D58"/>
    <w:rsid w:val="0073616D"/>
    <w:rsid w:val="007468E7"/>
    <w:rsid w:val="00755051"/>
    <w:rsid w:val="007714A7"/>
    <w:rsid w:val="007906A5"/>
    <w:rsid w:val="00792075"/>
    <w:rsid w:val="007B7454"/>
    <w:rsid w:val="007D779E"/>
    <w:rsid w:val="00800F00"/>
    <w:rsid w:val="00815328"/>
    <w:rsid w:val="00862748"/>
    <w:rsid w:val="00863439"/>
    <w:rsid w:val="00881741"/>
    <w:rsid w:val="008A7057"/>
    <w:rsid w:val="008A7550"/>
    <w:rsid w:val="008B34BE"/>
    <w:rsid w:val="008B3848"/>
    <w:rsid w:val="008D5EB4"/>
    <w:rsid w:val="008E37D6"/>
    <w:rsid w:val="008E6EA2"/>
    <w:rsid w:val="00904208"/>
    <w:rsid w:val="0090549E"/>
    <w:rsid w:val="00907D2D"/>
    <w:rsid w:val="00925FD2"/>
    <w:rsid w:val="009274DD"/>
    <w:rsid w:val="00952109"/>
    <w:rsid w:val="00970283"/>
    <w:rsid w:val="00980000"/>
    <w:rsid w:val="009A69A8"/>
    <w:rsid w:val="009B37C6"/>
    <w:rsid w:val="009B533B"/>
    <w:rsid w:val="009F7E67"/>
    <w:rsid w:val="00A3375F"/>
    <w:rsid w:val="00A34333"/>
    <w:rsid w:val="00A34FD1"/>
    <w:rsid w:val="00A3517B"/>
    <w:rsid w:val="00A414D9"/>
    <w:rsid w:val="00A51E27"/>
    <w:rsid w:val="00A833AF"/>
    <w:rsid w:val="00AE243D"/>
    <w:rsid w:val="00B45790"/>
    <w:rsid w:val="00B51FBD"/>
    <w:rsid w:val="00B53E1A"/>
    <w:rsid w:val="00B648C4"/>
    <w:rsid w:val="00B67154"/>
    <w:rsid w:val="00B74FF2"/>
    <w:rsid w:val="00BC523E"/>
    <w:rsid w:val="00BE0056"/>
    <w:rsid w:val="00BF20F5"/>
    <w:rsid w:val="00C236E4"/>
    <w:rsid w:val="00C32ABE"/>
    <w:rsid w:val="00C330CF"/>
    <w:rsid w:val="00CA7A9A"/>
    <w:rsid w:val="00CB5247"/>
    <w:rsid w:val="00D207FB"/>
    <w:rsid w:val="00D26916"/>
    <w:rsid w:val="00D302E2"/>
    <w:rsid w:val="00D373F9"/>
    <w:rsid w:val="00D73859"/>
    <w:rsid w:val="00DA3F4E"/>
    <w:rsid w:val="00DB1ED3"/>
    <w:rsid w:val="00DC6BC4"/>
    <w:rsid w:val="00DD0985"/>
    <w:rsid w:val="00DD51F8"/>
    <w:rsid w:val="00DD7538"/>
    <w:rsid w:val="00DF1014"/>
    <w:rsid w:val="00DF7970"/>
    <w:rsid w:val="00E46334"/>
    <w:rsid w:val="00E824F1"/>
    <w:rsid w:val="00E83210"/>
    <w:rsid w:val="00E86277"/>
    <w:rsid w:val="00EB246D"/>
    <w:rsid w:val="00EC52B9"/>
    <w:rsid w:val="00F119E9"/>
    <w:rsid w:val="00F13EEB"/>
    <w:rsid w:val="00F33760"/>
    <w:rsid w:val="00F37549"/>
    <w:rsid w:val="00F41AD9"/>
    <w:rsid w:val="00F44DEE"/>
    <w:rsid w:val="00F47E5E"/>
    <w:rsid w:val="00F53DA5"/>
    <w:rsid w:val="00F5584D"/>
    <w:rsid w:val="00F56338"/>
    <w:rsid w:val="00F65762"/>
    <w:rsid w:val="00F9410D"/>
    <w:rsid w:val="00F96272"/>
    <w:rsid w:val="00FB14F4"/>
    <w:rsid w:val="00FD438F"/>
    <w:rsid w:val="08395955"/>
    <w:rsid w:val="0DB00467"/>
    <w:rsid w:val="0FE14D9F"/>
    <w:rsid w:val="112D78A0"/>
    <w:rsid w:val="125018A4"/>
    <w:rsid w:val="126D179E"/>
    <w:rsid w:val="13D42D0F"/>
    <w:rsid w:val="15512530"/>
    <w:rsid w:val="171E206C"/>
    <w:rsid w:val="17BB9234"/>
    <w:rsid w:val="1B047ED6"/>
    <w:rsid w:val="1B1E117D"/>
    <w:rsid w:val="22372AAE"/>
    <w:rsid w:val="243C25FD"/>
    <w:rsid w:val="26B156D4"/>
    <w:rsid w:val="26BB6E7C"/>
    <w:rsid w:val="27AB3D22"/>
    <w:rsid w:val="2A31625E"/>
    <w:rsid w:val="2BBD44AD"/>
    <w:rsid w:val="2C9F197B"/>
    <w:rsid w:val="2D483DC1"/>
    <w:rsid w:val="2FFF77B7"/>
    <w:rsid w:val="31F20181"/>
    <w:rsid w:val="331F55C4"/>
    <w:rsid w:val="3576766D"/>
    <w:rsid w:val="35CFCBFE"/>
    <w:rsid w:val="36F10C84"/>
    <w:rsid w:val="3AAA7D5D"/>
    <w:rsid w:val="3ABFFEE2"/>
    <w:rsid w:val="3AFF842D"/>
    <w:rsid w:val="3B7BC974"/>
    <w:rsid w:val="3B947BFF"/>
    <w:rsid w:val="3BEF0458"/>
    <w:rsid w:val="3CE33B06"/>
    <w:rsid w:val="3CFC0724"/>
    <w:rsid w:val="3D8B0E12"/>
    <w:rsid w:val="3E1AD198"/>
    <w:rsid w:val="3FEC991E"/>
    <w:rsid w:val="429E32CE"/>
    <w:rsid w:val="45630E5C"/>
    <w:rsid w:val="49107A31"/>
    <w:rsid w:val="4AAE5336"/>
    <w:rsid w:val="4B271062"/>
    <w:rsid w:val="4E4D1832"/>
    <w:rsid w:val="529C5817"/>
    <w:rsid w:val="53234805"/>
    <w:rsid w:val="53D66FBC"/>
    <w:rsid w:val="54462559"/>
    <w:rsid w:val="551B39E5"/>
    <w:rsid w:val="55E738C7"/>
    <w:rsid w:val="56244B1C"/>
    <w:rsid w:val="57B62F2E"/>
    <w:rsid w:val="58B8779D"/>
    <w:rsid w:val="58E32EC8"/>
    <w:rsid w:val="58FC3B2E"/>
    <w:rsid w:val="59CD7278"/>
    <w:rsid w:val="5A1F221D"/>
    <w:rsid w:val="5A4858C3"/>
    <w:rsid w:val="5BF970FE"/>
    <w:rsid w:val="5F66ED7B"/>
    <w:rsid w:val="5FBEA463"/>
    <w:rsid w:val="5FD7BBCB"/>
    <w:rsid w:val="5FDE7381"/>
    <w:rsid w:val="5FFB8550"/>
    <w:rsid w:val="5FFEE5FF"/>
    <w:rsid w:val="63DD92F2"/>
    <w:rsid w:val="669051F0"/>
    <w:rsid w:val="679F6976"/>
    <w:rsid w:val="68796C5E"/>
    <w:rsid w:val="6A8736B0"/>
    <w:rsid w:val="6B63514E"/>
    <w:rsid w:val="6B7B99B9"/>
    <w:rsid w:val="6D2F22DA"/>
    <w:rsid w:val="6D3E7E54"/>
    <w:rsid w:val="6DEF7BC7"/>
    <w:rsid w:val="6EFBD8D8"/>
    <w:rsid w:val="6F1125C6"/>
    <w:rsid w:val="6FDF3703"/>
    <w:rsid w:val="72F541C8"/>
    <w:rsid w:val="73E91C35"/>
    <w:rsid w:val="73FC5BC1"/>
    <w:rsid w:val="74512EB9"/>
    <w:rsid w:val="75FBEE04"/>
    <w:rsid w:val="763C0048"/>
    <w:rsid w:val="76EFBC99"/>
    <w:rsid w:val="77603D4B"/>
    <w:rsid w:val="777FA62A"/>
    <w:rsid w:val="77AA5C49"/>
    <w:rsid w:val="77BFCD6C"/>
    <w:rsid w:val="77F73E81"/>
    <w:rsid w:val="783F52D1"/>
    <w:rsid w:val="795D26A4"/>
    <w:rsid w:val="79DF95FC"/>
    <w:rsid w:val="79FF74E3"/>
    <w:rsid w:val="7D20434C"/>
    <w:rsid w:val="7D7E466B"/>
    <w:rsid w:val="7E5F00AD"/>
    <w:rsid w:val="7E93CB4C"/>
    <w:rsid w:val="7EE961A9"/>
    <w:rsid w:val="7EFFFEED"/>
    <w:rsid w:val="7FB7C67E"/>
    <w:rsid w:val="7FE65B52"/>
    <w:rsid w:val="7FEF2F04"/>
    <w:rsid w:val="7FF9D136"/>
    <w:rsid w:val="7FFF0600"/>
    <w:rsid w:val="93B326AB"/>
    <w:rsid w:val="9ADF857F"/>
    <w:rsid w:val="9BDFE8A3"/>
    <w:rsid w:val="A7EFDAD0"/>
    <w:rsid w:val="AFF709EE"/>
    <w:rsid w:val="B3EB683E"/>
    <w:rsid w:val="B7DF1B69"/>
    <w:rsid w:val="BB7E4BAE"/>
    <w:rsid w:val="BBFB720A"/>
    <w:rsid w:val="BCFFC057"/>
    <w:rsid w:val="BDBE1DBC"/>
    <w:rsid w:val="BDFB2F26"/>
    <w:rsid w:val="BF7F9DB3"/>
    <w:rsid w:val="BF9F811F"/>
    <w:rsid w:val="BFB7690C"/>
    <w:rsid w:val="BFEEB652"/>
    <w:rsid w:val="C6B739B8"/>
    <w:rsid w:val="CDFFAD2D"/>
    <w:rsid w:val="D7F8BD09"/>
    <w:rsid w:val="DC681DE8"/>
    <w:rsid w:val="DF9F3AD0"/>
    <w:rsid w:val="E3D7D0CD"/>
    <w:rsid w:val="ECFF9A32"/>
    <w:rsid w:val="EFEA7C51"/>
    <w:rsid w:val="EFFD5574"/>
    <w:rsid w:val="F3F5C77C"/>
    <w:rsid w:val="F53F19A3"/>
    <w:rsid w:val="F6D949A1"/>
    <w:rsid w:val="F7DAE0AD"/>
    <w:rsid w:val="F9477020"/>
    <w:rsid w:val="F99D69E9"/>
    <w:rsid w:val="F9E6A9E3"/>
    <w:rsid w:val="F9FF51F9"/>
    <w:rsid w:val="FAFEC8C4"/>
    <w:rsid w:val="FB7EDB30"/>
    <w:rsid w:val="FBAFBC2D"/>
    <w:rsid w:val="FBEF0FC1"/>
    <w:rsid w:val="FCCFF0DE"/>
    <w:rsid w:val="FCFB891A"/>
    <w:rsid w:val="FDAB410A"/>
    <w:rsid w:val="FDEFD913"/>
    <w:rsid w:val="FDFF1D8A"/>
    <w:rsid w:val="FDFF700B"/>
    <w:rsid w:val="FE6A7FF0"/>
    <w:rsid w:val="FECD3C28"/>
    <w:rsid w:val="FF64B977"/>
    <w:rsid w:val="FF77E8F4"/>
    <w:rsid w:val="FFBFDA28"/>
    <w:rsid w:val="FFCAA82A"/>
    <w:rsid w:val="FFEB1A70"/>
    <w:rsid w:val="FFF713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2"/>
    <w:qFormat/>
    <w:uiPriority w:val="0"/>
    <w:rPr>
      <w:rFonts w:ascii="宋体" w:hAnsi="Courier New" w:cs="宋体"/>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99"/>
    <w:rPr>
      <w:rFonts w:cs="Times New Roman"/>
      <w:b/>
    </w:rPr>
  </w:style>
  <w:style w:type="character" w:customStyle="1" w:styleId="10">
    <w:name w:val="页眉 Char"/>
    <w:link w:val="6"/>
    <w:qFormat/>
    <w:locked/>
    <w:uiPriority w:val="99"/>
    <w:rPr>
      <w:rFonts w:cs="Times New Roman"/>
      <w:kern w:val="2"/>
      <w:sz w:val="18"/>
    </w:rPr>
  </w:style>
  <w:style w:type="character" w:customStyle="1" w:styleId="11">
    <w:name w:val="页脚 Char"/>
    <w:link w:val="5"/>
    <w:qFormat/>
    <w:locked/>
    <w:uiPriority w:val="99"/>
    <w:rPr>
      <w:rFonts w:cs="Times New Roman"/>
      <w:kern w:val="2"/>
      <w:sz w:val="18"/>
    </w:rPr>
  </w:style>
  <w:style w:type="character" w:customStyle="1" w:styleId="12">
    <w:name w:val="纯文本 Char"/>
    <w:basedOn w:val="8"/>
    <w:link w:val="3"/>
    <w:qFormat/>
    <w:uiPriority w:val="0"/>
    <w:rPr>
      <w:rFonts w:ascii="宋体" w:hAnsi="Courier New" w:cs="宋体"/>
      <w:kern w:val="2"/>
      <w:sz w:val="32"/>
      <w:szCs w:val="32"/>
    </w:r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1658</Words>
  <Characters>1668</Characters>
  <Lines>17</Lines>
  <Paragraphs>4</Paragraphs>
  <TotalTime>0</TotalTime>
  <ScaleCrop>false</ScaleCrop>
  <LinksUpToDate>false</LinksUpToDate>
  <CharactersWithSpaces>1670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2020-01-22T21:35:00Z</dcterms:created>
  <dc:creator>杨剑</dc:creator>
  <cp:lastModifiedBy>chencl</cp:lastModifiedBy>
  <cp:lastPrinted>2023-07-04T09:39:00Z</cp:lastPrinted>
  <dcterms:modified xsi:type="dcterms:W3CDTF">2023-07-05T16:08:00Z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A4F531255FE24F8CAB607E61B812305A_13</vt:lpwstr>
  </property>
</Properties>
</file>