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sz w:val="28"/>
        </w:rPr>
      </w:pPr>
      <w:r>
        <w:rPr>
          <w:rFonts w:hint="eastAsia" w:ascii="微软雅黑" w:hAnsi="微软雅黑" w:eastAsia="微软雅黑"/>
          <w:b/>
          <w:sz w:val="28"/>
        </w:rPr>
        <w:t>《</w:t>
      </w:r>
      <w:r>
        <w:rPr>
          <w:rFonts w:hint="eastAsia" w:ascii="微软雅黑" w:hAnsi="微软雅黑" w:eastAsia="微软雅黑"/>
          <w:b/>
          <w:sz w:val="28"/>
          <w:lang w:eastAsia="zh-CN"/>
        </w:rPr>
        <w:t>光明区国土空间利用和近期建设行动“十四五”规划（2020-2025）</w:t>
      </w:r>
      <w:r>
        <w:rPr>
          <w:rFonts w:hint="eastAsia" w:ascii="微软雅黑" w:hAnsi="微软雅黑" w:eastAsia="微软雅黑"/>
          <w:b/>
          <w:sz w:val="28"/>
        </w:rPr>
        <w:t>（草案）》公众意见处理情况汇总表</w:t>
      </w:r>
    </w:p>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297"/>
        <w:gridCol w:w="6345"/>
        <w:gridCol w:w="1442"/>
        <w:gridCol w:w="2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jc w:val="center"/>
              <w:rPr>
                <w:rFonts w:ascii="宋体" w:hAnsi="宋体" w:eastAsia="宋体"/>
              </w:rPr>
            </w:pPr>
            <w:r>
              <w:rPr>
                <w:rFonts w:hint="eastAsia" w:ascii="宋体" w:hAnsi="宋体" w:eastAsia="宋体"/>
              </w:rPr>
              <w:t>序号</w:t>
            </w:r>
          </w:p>
        </w:tc>
        <w:tc>
          <w:tcPr>
            <w:tcW w:w="482" w:type="pct"/>
            <w:vAlign w:val="center"/>
          </w:tcPr>
          <w:p>
            <w:pPr>
              <w:jc w:val="center"/>
              <w:rPr>
                <w:rFonts w:ascii="宋体" w:hAnsi="宋体" w:eastAsia="宋体"/>
              </w:rPr>
            </w:pPr>
            <w:r>
              <w:rPr>
                <w:rFonts w:hint="eastAsia" w:ascii="宋体" w:hAnsi="宋体" w:eastAsia="宋体"/>
              </w:rPr>
              <w:t>来文单位及个人</w:t>
            </w:r>
          </w:p>
        </w:tc>
        <w:tc>
          <w:tcPr>
            <w:tcW w:w="2358" w:type="pct"/>
            <w:vAlign w:val="center"/>
          </w:tcPr>
          <w:p>
            <w:pPr>
              <w:jc w:val="center"/>
              <w:rPr>
                <w:rFonts w:ascii="宋体" w:hAnsi="宋体" w:eastAsia="宋体"/>
              </w:rPr>
            </w:pPr>
            <w:r>
              <w:rPr>
                <w:rFonts w:hint="eastAsia" w:ascii="宋体" w:hAnsi="宋体" w:eastAsia="宋体"/>
              </w:rPr>
              <w:t>公众意见</w:t>
            </w:r>
          </w:p>
        </w:tc>
        <w:tc>
          <w:tcPr>
            <w:tcW w:w="536" w:type="pct"/>
            <w:vAlign w:val="center"/>
          </w:tcPr>
          <w:p>
            <w:pPr>
              <w:jc w:val="center"/>
              <w:rPr>
                <w:rFonts w:ascii="宋体" w:hAnsi="宋体" w:eastAsia="宋体"/>
              </w:rPr>
            </w:pPr>
            <w:r>
              <w:rPr>
                <w:rFonts w:hint="eastAsia" w:ascii="宋体" w:hAnsi="宋体" w:eastAsia="宋体"/>
              </w:rPr>
              <w:t>意见处理</w:t>
            </w:r>
          </w:p>
        </w:tc>
        <w:tc>
          <w:tcPr>
            <w:tcW w:w="1090" w:type="pct"/>
            <w:vAlign w:val="center"/>
          </w:tcPr>
          <w:p>
            <w:pPr>
              <w:jc w:val="center"/>
              <w:rPr>
                <w:rFonts w:ascii="宋体" w:hAnsi="宋体" w:eastAsia="宋体"/>
              </w:rPr>
            </w:pPr>
            <w:r>
              <w:rPr>
                <w:rFonts w:hint="eastAsia" w:ascii="宋体" w:hAnsi="宋体" w:eastAsia="宋体"/>
              </w:rPr>
              <w:t>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jc w:val="center"/>
              <w:rPr>
                <w:rFonts w:ascii="宋体" w:hAnsi="宋体" w:eastAsia="宋体"/>
              </w:rPr>
            </w:pPr>
            <w:r>
              <w:rPr>
                <w:rFonts w:hint="eastAsia" w:ascii="宋体" w:hAnsi="宋体" w:eastAsia="宋体"/>
              </w:rPr>
              <w:t>1</w:t>
            </w:r>
          </w:p>
        </w:tc>
        <w:tc>
          <w:tcPr>
            <w:tcW w:w="482" w:type="pct"/>
            <w:vMerge w:val="restart"/>
            <w:vAlign w:val="center"/>
          </w:tcPr>
          <w:p>
            <w:pPr>
              <w:jc w:val="center"/>
              <w:rPr>
                <w:rFonts w:ascii="宋体" w:hAnsi="宋体" w:eastAsia="宋体"/>
              </w:rPr>
            </w:pPr>
            <w:r>
              <w:rPr>
                <w:rFonts w:hint="eastAsia" w:ascii="宋体" w:hAnsi="宋体" w:eastAsia="宋体"/>
              </w:rPr>
              <w:t>王作</w:t>
            </w:r>
          </w:p>
        </w:tc>
        <w:tc>
          <w:tcPr>
            <w:tcW w:w="2358" w:type="pct"/>
            <w:vAlign w:val="center"/>
          </w:tcPr>
          <w:p>
            <w:pPr>
              <w:jc w:val="left"/>
              <w:rPr>
                <w:rFonts w:ascii="宋体" w:hAnsi="宋体" w:eastAsia="宋体"/>
              </w:rPr>
            </w:pPr>
            <w:r>
              <w:rPr>
                <w:rFonts w:hint="eastAsia" w:ascii="宋体" w:hAnsi="宋体" w:eastAsia="宋体"/>
              </w:rPr>
              <w:t>关于“</w:t>
            </w:r>
            <w:r>
              <w:rPr>
                <w:rFonts w:ascii="宋体" w:hAnsi="宋体" w:eastAsia="宋体"/>
              </w:rPr>
              <w:t>PART7提高宣居空间品质 建设和美幸福家园”部分，a为提高住宅的宜居性1建议增加控制二类居住用地的建筑密度和建筑物高度，控制 100 米以上的住宅建筑规划的内容。b、同意优先在轨道交通站点等公共交通便利的地区布局二类居住用地，但建议应以轨道交通站点为圆心，500米范围内规划较高密度的住宅，500-800米范围内规划适当密度的住宅(比如规划建筑高度低于 80 米的住宅用地)，800 米范围外的区域可以规划别墅和低层洋房等。</w:t>
            </w:r>
          </w:p>
        </w:tc>
        <w:tc>
          <w:tcPr>
            <w:tcW w:w="536" w:type="pct"/>
            <w:vAlign w:val="center"/>
          </w:tcPr>
          <w:p>
            <w:pPr>
              <w:jc w:val="center"/>
              <w:rPr>
                <w:rFonts w:hint="default" w:ascii="宋体" w:hAnsi="宋体" w:eastAsia="宋体"/>
                <w:lang w:val="en-US" w:eastAsia="zh-CN"/>
              </w:rPr>
            </w:pPr>
            <w:r>
              <w:rPr>
                <w:rFonts w:hint="eastAsia" w:ascii="宋体" w:hAnsi="宋体" w:eastAsia="宋体"/>
                <w:lang w:val="en-US" w:eastAsia="zh-CN"/>
              </w:rPr>
              <w:t>部分采纳</w:t>
            </w:r>
          </w:p>
        </w:tc>
        <w:tc>
          <w:tcPr>
            <w:tcW w:w="1090" w:type="pct"/>
            <w:vAlign w:val="center"/>
          </w:tcPr>
          <w:p>
            <w:pPr>
              <w:jc w:val="center"/>
              <w:rPr>
                <w:rFonts w:ascii="宋体" w:hAnsi="宋体" w:eastAsia="宋体"/>
              </w:rPr>
            </w:pPr>
            <w:r>
              <w:rPr>
                <w:rFonts w:hint="eastAsia" w:ascii="宋体" w:hAnsi="宋体" w:eastAsia="宋体"/>
              </w:rPr>
              <w:t>居住用地密度按照《深圳市规划标准与准则》4</w:t>
            </w:r>
            <w:r>
              <w:rPr>
                <w:rFonts w:ascii="宋体" w:hAnsi="宋体" w:eastAsia="宋体"/>
              </w:rPr>
              <w:t>.1</w:t>
            </w:r>
            <w:r>
              <w:rPr>
                <w:rFonts w:hint="eastAsia" w:ascii="宋体" w:hAnsi="宋体" w:eastAsia="宋体"/>
              </w:rPr>
              <w:t>条执行。《根据深圳市规划标准与准则》，对于城市中心地区及地铁站点周边地区鼓励较高强度的开发。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jc w:val="center"/>
              <w:rPr>
                <w:rFonts w:ascii="宋体" w:hAnsi="宋体" w:eastAsia="宋体"/>
              </w:rPr>
            </w:pPr>
          </w:p>
        </w:tc>
        <w:tc>
          <w:tcPr>
            <w:tcW w:w="482" w:type="pct"/>
            <w:vMerge w:val="continue"/>
            <w:vAlign w:val="center"/>
          </w:tcPr>
          <w:p>
            <w:pPr>
              <w:jc w:val="center"/>
              <w:rPr>
                <w:rFonts w:ascii="宋体" w:hAnsi="宋体" w:eastAsia="宋体"/>
              </w:rPr>
            </w:pPr>
          </w:p>
        </w:tc>
        <w:tc>
          <w:tcPr>
            <w:tcW w:w="2358" w:type="pct"/>
            <w:vAlign w:val="center"/>
          </w:tcPr>
          <w:p>
            <w:pPr>
              <w:jc w:val="left"/>
              <w:rPr>
                <w:rFonts w:ascii="宋体" w:hAnsi="宋体" w:eastAsia="宋体"/>
              </w:rPr>
            </w:pPr>
            <w:r>
              <w:rPr>
                <w:rFonts w:hint="eastAsia" w:ascii="宋体" w:hAnsi="宋体" w:eastAsia="宋体"/>
              </w:rPr>
              <w:t>关于“</w:t>
            </w:r>
            <w:r>
              <w:rPr>
                <w:rFonts w:ascii="宋体" w:hAnsi="宋体" w:eastAsia="宋体"/>
              </w:rPr>
              <w:t xml:space="preserve">PART9推进交通系统建设 促进高效便捷连接”部分，a、在“加快轨道交通建设”中，建议增加推进轨道18 线建设的内容。b、在“推动“八纵八横”主干道建设中，建议增加与外环高速新围互通及龙澜大道北延段的联络线的规划建设。龙澜大道北延段和外环高速新围互通工程2022年12月己经开工，为配合市重点项目建设2023年底要建成通车。光明区 2020-2025 </w:t>
            </w:r>
            <w:r>
              <w:rPr>
                <w:rFonts w:hint="eastAsia" w:ascii="宋体" w:hAnsi="宋体" w:eastAsia="宋体"/>
              </w:rPr>
              <w:t>国土</w:t>
            </w:r>
            <w:r>
              <w:rPr>
                <w:rFonts w:ascii="宋体" w:hAnsi="宋体" w:eastAsia="宋体"/>
              </w:rPr>
              <w:t>空间利用和建设“十四五”规划，必须考虑周边区域的道路规划和建设，最大限度改善白花物流转运中心的交通环境，规划和建设好相关的次干道，积极与龙澜大道北</w:t>
            </w:r>
            <w:r>
              <w:rPr>
                <w:rFonts w:hint="eastAsia" w:ascii="宋体" w:hAnsi="宋体" w:eastAsia="宋体"/>
              </w:rPr>
              <w:t>延段相关的樟新路和外环高速新围互通相关的桂平路等道路连通，并重新规划建设花神路</w:t>
            </w:r>
            <w:r>
              <w:rPr>
                <w:rFonts w:ascii="宋体" w:hAnsi="宋体" w:eastAsia="宋体"/>
              </w:rPr>
              <w:t>断头路)，使其发挥作用。</w:t>
            </w:r>
          </w:p>
        </w:tc>
        <w:tc>
          <w:tcPr>
            <w:tcW w:w="536" w:type="pct"/>
            <w:vAlign w:val="center"/>
          </w:tcPr>
          <w:p>
            <w:pPr>
              <w:jc w:val="center"/>
              <w:rPr>
                <w:rFonts w:ascii="宋体" w:hAnsi="宋体" w:eastAsia="宋体"/>
              </w:rPr>
            </w:pPr>
            <w:r>
              <w:rPr>
                <w:rFonts w:hint="eastAsia" w:ascii="宋体" w:hAnsi="宋体" w:eastAsia="宋体"/>
              </w:rPr>
              <w:t>部分采纳</w:t>
            </w:r>
          </w:p>
        </w:tc>
        <w:tc>
          <w:tcPr>
            <w:tcW w:w="1090" w:type="pct"/>
            <w:vAlign w:val="center"/>
          </w:tcPr>
          <w:p>
            <w:pPr>
              <w:pStyle w:val="9"/>
              <w:numPr>
                <w:ilvl w:val="0"/>
                <w:numId w:val="1"/>
              </w:numPr>
              <w:ind w:firstLineChars="0"/>
              <w:jc w:val="center"/>
              <w:rPr>
                <w:rFonts w:ascii="宋体" w:hAnsi="宋体" w:eastAsia="宋体"/>
              </w:rPr>
            </w:pPr>
            <w:r>
              <w:rPr>
                <w:rFonts w:ascii="宋体" w:hAnsi="宋体" w:eastAsia="宋体"/>
              </w:rPr>
              <w:t>深圳市轨道交通五期建设（含轨道18号</w:t>
            </w:r>
            <w:r>
              <w:rPr>
                <w:rFonts w:hint="eastAsia" w:ascii="宋体" w:hAnsi="宋体" w:eastAsia="宋体"/>
              </w:rPr>
              <w:t>线</w:t>
            </w:r>
            <w:r>
              <w:rPr>
                <w:rFonts w:ascii="宋体" w:hAnsi="宋体" w:eastAsia="宋体"/>
              </w:rPr>
              <w:t>）尚未通过国家发改委批复，</w:t>
            </w:r>
            <w:r>
              <w:rPr>
                <w:rFonts w:hint="eastAsia" w:ascii="宋体" w:hAnsi="宋体" w:eastAsia="宋体"/>
              </w:rPr>
              <w:t>因此无法纳入近期建设项目。另，本次规划中第2</w:t>
            </w:r>
            <w:r>
              <w:rPr>
                <w:rFonts w:ascii="宋体" w:hAnsi="宋体" w:eastAsia="宋体"/>
              </w:rPr>
              <w:t>7</w:t>
            </w:r>
            <w:r>
              <w:rPr>
                <w:rFonts w:hint="eastAsia" w:ascii="宋体" w:hAnsi="宋体" w:eastAsia="宋体"/>
              </w:rPr>
              <w:t>条提出建立动态调较机制，将通过年度计划进行动态更新和优化完善，轨道1</w:t>
            </w:r>
            <w:r>
              <w:rPr>
                <w:rFonts w:ascii="宋体" w:hAnsi="宋体" w:eastAsia="宋体"/>
              </w:rPr>
              <w:t>8</w:t>
            </w:r>
            <w:r>
              <w:rPr>
                <w:rFonts w:hint="eastAsia" w:ascii="宋体" w:hAnsi="宋体" w:eastAsia="宋体"/>
              </w:rPr>
              <w:t>号线待</w:t>
            </w:r>
            <w:r>
              <w:rPr>
                <w:rFonts w:ascii="宋体" w:hAnsi="宋体" w:eastAsia="宋体"/>
              </w:rPr>
              <w:t>国家批复后</w:t>
            </w:r>
            <w:r>
              <w:rPr>
                <w:rFonts w:hint="eastAsia" w:ascii="宋体" w:hAnsi="宋体" w:eastAsia="宋体"/>
              </w:rPr>
              <w:t>将</w:t>
            </w:r>
            <w:r>
              <w:rPr>
                <w:rFonts w:ascii="宋体" w:hAnsi="宋体" w:eastAsia="宋体"/>
              </w:rPr>
              <w:t>纳入十四五规划建设</w:t>
            </w:r>
            <w:r>
              <w:rPr>
                <w:rFonts w:hint="eastAsia" w:ascii="宋体" w:hAnsi="宋体" w:eastAsia="宋体"/>
              </w:rPr>
              <w:t>项目库</w:t>
            </w:r>
            <w:r>
              <w:rPr>
                <w:rFonts w:ascii="宋体" w:hAnsi="宋体" w:eastAsia="宋体"/>
              </w:rPr>
              <w:t>。</w:t>
            </w:r>
          </w:p>
          <w:p>
            <w:pPr>
              <w:pStyle w:val="9"/>
              <w:numPr>
                <w:ilvl w:val="0"/>
                <w:numId w:val="1"/>
              </w:numPr>
              <w:ind w:firstLineChars="0"/>
              <w:jc w:val="center"/>
              <w:rPr>
                <w:rFonts w:hint="eastAsia" w:ascii="宋体" w:hAnsi="宋体" w:eastAsia="宋体"/>
              </w:rPr>
            </w:pPr>
            <w:r>
              <w:rPr>
                <w:rFonts w:hint="eastAsia" w:ascii="宋体" w:hAnsi="宋体" w:eastAsia="宋体"/>
              </w:rPr>
              <w:t>（1）</w:t>
            </w:r>
            <w:r>
              <w:rPr>
                <w:rFonts w:ascii="宋体" w:hAnsi="宋体" w:eastAsia="宋体"/>
              </w:rPr>
              <w:t>外环高速新围互通及龙澜大道北延段的联络线</w:t>
            </w:r>
            <w:r>
              <w:rPr>
                <w:rFonts w:hint="eastAsia" w:ascii="宋体" w:hAnsi="宋体" w:eastAsia="宋体"/>
              </w:rPr>
              <w:t>不涉及光明区行政区范围。（2）白花片区将启动法定图则修编，重新梳理片区交通体系，法定图则修编中将充分考虑白花片区与周边区域的道路衔接。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pct"/>
            <w:vAlign w:val="center"/>
          </w:tcPr>
          <w:p>
            <w:pPr>
              <w:jc w:val="center"/>
              <w:rPr>
                <w:rFonts w:ascii="宋体" w:hAnsi="宋体" w:eastAsia="宋体"/>
              </w:rPr>
            </w:pPr>
          </w:p>
        </w:tc>
        <w:tc>
          <w:tcPr>
            <w:tcW w:w="482" w:type="pct"/>
            <w:vAlign w:val="center"/>
          </w:tcPr>
          <w:p>
            <w:pPr>
              <w:jc w:val="center"/>
              <w:rPr>
                <w:rFonts w:ascii="宋体" w:hAnsi="宋体" w:eastAsia="宋体"/>
              </w:rPr>
            </w:pPr>
            <w:r>
              <w:rPr>
                <w:rFonts w:ascii="宋体" w:hAnsi="宋体" w:eastAsia="宋体"/>
              </w:rPr>
              <w:t>特宝家(深圳)</w:t>
            </w:r>
            <w:r>
              <w:rPr>
                <w:rFonts w:hint="eastAsia" w:ascii="宋体" w:hAnsi="宋体" w:eastAsia="宋体"/>
              </w:rPr>
              <w:t>有限公司</w:t>
            </w:r>
          </w:p>
        </w:tc>
        <w:tc>
          <w:tcPr>
            <w:tcW w:w="2358" w:type="pct"/>
            <w:vAlign w:val="center"/>
          </w:tcPr>
          <w:p>
            <w:pPr>
              <w:jc w:val="left"/>
              <w:rPr>
                <w:rFonts w:ascii="宋体" w:hAnsi="宋体" w:eastAsia="宋体"/>
              </w:rPr>
            </w:pPr>
            <w:r>
              <w:rPr>
                <w:rFonts w:hint="eastAsia" w:ascii="宋体" w:hAnsi="宋体" w:eastAsia="宋体"/>
              </w:rPr>
              <w:t>深读《深圳市光明区国土空间利用和近期建设“十四五”规划</w:t>
            </w:r>
            <w:r>
              <w:rPr>
                <w:rFonts w:ascii="宋体" w:hAnsi="宋体" w:eastAsia="宋体"/>
              </w:rPr>
              <w:t>(2020-2025年)》即欣喜又担忧。欣喜之于做为一家来深30多年，一路从松岗到光明，最终植根光明23年的港资企业，一路见证光明从泥泞路到绿地高楼，发展迅速，成果喜人。</w:t>
            </w:r>
          </w:p>
          <w:p>
            <w:pPr>
              <w:jc w:val="left"/>
              <w:rPr>
                <w:rFonts w:ascii="宋体" w:hAnsi="宋体" w:eastAsia="宋体"/>
              </w:rPr>
            </w:pPr>
            <w:r>
              <w:rPr>
                <w:rFonts w:hint="eastAsia" w:ascii="宋体" w:hAnsi="宋体" w:eastAsia="宋体"/>
              </w:rPr>
              <w:t>奥特宝家饰</w:t>
            </w:r>
            <w:r>
              <w:rPr>
                <w:rFonts w:ascii="宋体" w:hAnsi="宋体" w:eastAsia="宋体"/>
              </w:rPr>
              <w:t>(深圳)有限公司联大工业园) 也从一片荒地中拔地而起，跟随光明一同成长。长期以来，我们支持并配合政府多个项目落地实施，过程中即使遭遇不公和利益损失，也都默默承受，未曾向政府抗议过、抱怨过。</w:t>
            </w:r>
          </w:p>
          <w:p>
            <w:pPr>
              <w:jc w:val="left"/>
              <w:rPr>
                <w:rFonts w:ascii="宋体" w:hAnsi="宋体" w:eastAsia="宋体"/>
              </w:rPr>
            </w:pPr>
            <w:r>
              <w:rPr>
                <w:rFonts w:hint="eastAsia" w:ascii="宋体" w:hAnsi="宋体" w:eastAsia="宋体"/>
              </w:rPr>
              <w:t>疫情三年，全球经济受到巨大冲击，我们作为一家以外贸为主的制造企业，更是举步维艰。在巨大的生存压力下，我们并未采取裁员的方式断臂求生，而是选择了保就业、稳经济，疫情期间未曾裁员一人，主动承担起了作为企业的担当与责任。同时，我们也在积极探索国内市场，已经与舒达、雅兰等国内一线家居品牌达成合作，联合开发不断产品</w:t>
            </w:r>
            <w:r>
              <w:rPr>
                <w:rFonts w:ascii="宋体" w:hAnsi="宋体" w:eastAsia="宋体"/>
              </w:rPr>
              <w:t>/技术升级，获得国际认证;与此同时也积极开展医疗用海绵研发，深入并联合开发智能家居:社会保障上对接香港</w:t>
            </w:r>
            <w:r>
              <w:rPr>
                <w:rFonts w:hint="eastAsia" w:ascii="宋体" w:hAnsi="宋体" w:eastAsia="宋体"/>
                <w:lang w:eastAsia="zh-CN"/>
              </w:rPr>
              <w:t>特区</w:t>
            </w:r>
            <w:r>
              <w:rPr>
                <w:rFonts w:ascii="宋体" w:hAnsi="宋体" w:eastAsia="宋体"/>
              </w:rPr>
              <w:t>政府提供床垫，在困境中求得生存。如今终于等到了疫情解封、经济回暖的这一天，但是，就以上规划草案方向看来，</w:t>
            </w:r>
            <w:r>
              <w:rPr>
                <w:rFonts w:hint="eastAsia" w:ascii="宋体" w:hAnsi="宋体" w:eastAsia="宋体"/>
              </w:rPr>
              <w:t>联大工业园所属区域很大可能面临政府征收和拆迁，难免引得我们企业的不安和担忧。区域要发展，实体经济一定要搞上去</w:t>
            </w:r>
            <w:r>
              <w:rPr>
                <w:rFonts w:hint="eastAsia" w:ascii="宋体" w:hAnsi="宋体" w:eastAsia="宋体"/>
                <w:lang w:eastAsia="zh-CN"/>
              </w:rPr>
              <w:t>。</w:t>
            </w:r>
            <w:r>
              <w:rPr>
                <w:rFonts w:hint="eastAsia" w:ascii="宋体" w:hAnsi="宋体" w:eastAsia="宋体"/>
              </w:rPr>
              <w:t>习</w:t>
            </w:r>
            <w:r>
              <w:rPr>
                <w:rFonts w:hint="eastAsia" w:ascii="宋体" w:hAnsi="宋体" w:eastAsia="宋体"/>
                <w:lang w:eastAsia="zh-CN"/>
              </w:rPr>
              <w:t>近平总书记</w:t>
            </w:r>
            <w:r>
              <w:rPr>
                <w:rFonts w:hint="eastAsia" w:ascii="宋体" w:hAnsi="宋体" w:eastAsia="宋体"/>
              </w:rPr>
              <w:t>在</w:t>
            </w:r>
            <w:r>
              <w:rPr>
                <w:rFonts w:hint="eastAsia" w:ascii="宋体" w:hAnsi="宋体" w:eastAsia="宋体"/>
                <w:lang w:eastAsia="zh-CN"/>
              </w:rPr>
              <w:t>党的二十大</w:t>
            </w:r>
            <w:r>
              <w:rPr>
                <w:rFonts w:hint="eastAsia" w:ascii="宋体" w:hAnsi="宋体" w:eastAsia="宋体"/>
              </w:rPr>
              <w:t>报告</w:t>
            </w:r>
            <w:r>
              <w:rPr>
                <w:rFonts w:hint="eastAsia" w:ascii="宋体" w:hAnsi="宋体" w:eastAsia="宋体"/>
                <w:lang w:eastAsia="zh-CN"/>
              </w:rPr>
              <w:t>中</w:t>
            </w:r>
            <w:r>
              <w:rPr>
                <w:rFonts w:hint="eastAsia" w:ascii="宋体" w:hAnsi="宋体" w:eastAsia="宋体"/>
              </w:rPr>
              <w:t>指出</w:t>
            </w:r>
            <w:r>
              <w:rPr>
                <w:rFonts w:hint="eastAsia" w:ascii="宋体" w:hAnsi="宋体" w:eastAsia="宋体"/>
                <w:lang w:eastAsia="zh-CN"/>
              </w:rPr>
              <w:t>要坚持把发展经济的着力点</w:t>
            </w:r>
            <w:bookmarkStart w:id="0" w:name="_GoBack"/>
            <w:bookmarkEnd w:id="0"/>
            <w:r>
              <w:rPr>
                <w:rFonts w:hint="eastAsia" w:ascii="宋体" w:hAnsi="宋体" w:eastAsia="宋体"/>
                <w:lang w:eastAsia="zh-CN"/>
              </w:rPr>
              <w:t>放在实体经济上。</w:t>
            </w:r>
          </w:p>
          <w:p>
            <w:pPr>
              <w:jc w:val="left"/>
              <w:rPr>
                <w:rFonts w:ascii="宋体" w:hAnsi="宋体" w:eastAsia="宋体"/>
              </w:rPr>
            </w:pPr>
            <w:r>
              <w:rPr>
                <w:rFonts w:hint="eastAsia" w:ascii="宋体" w:hAnsi="宋体" w:eastAsia="宋体"/>
              </w:rPr>
              <w:t>联大工业园在光明驻扎</w:t>
            </w:r>
            <w:r>
              <w:rPr>
                <w:rFonts w:ascii="宋体" w:hAnsi="宋体" w:eastAsia="宋体"/>
              </w:rPr>
              <w:t xml:space="preserve"> 20 余年，作为唯一家海绵制品综合制造企业，我们一直在助力光明内衣基地的发展与壮大，也让光明的实体企业类型多样化。</w:t>
            </w:r>
          </w:p>
          <w:p>
            <w:pPr>
              <w:jc w:val="left"/>
              <w:rPr>
                <w:rFonts w:ascii="宋体" w:hAnsi="宋体" w:eastAsia="宋体"/>
              </w:rPr>
            </w:pPr>
            <w:r>
              <w:rPr>
                <w:rFonts w:hint="eastAsia" w:ascii="宋体" w:hAnsi="宋体" w:eastAsia="宋体"/>
              </w:rPr>
              <w:t>综上，十四五规划中虽尚未公布具体的政府拆迁计划，但对于我们而言，拆除将是一条死路，届时将面临企业倒闭、大批员工失业的困难境地，故而我们只能如实向政府反映现状，希望政府在规划光明未来时，给实体企业一线生机，让我们有机会继续助力光明、壮大光明</w:t>
            </w:r>
          </w:p>
          <w:p>
            <w:pPr>
              <w:jc w:val="left"/>
              <w:rPr>
                <w:rFonts w:ascii="宋体" w:hAnsi="宋体" w:eastAsia="宋体"/>
              </w:rPr>
            </w:pPr>
            <w:r>
              <w:rPr>
                <w:rFonts w:hint="eastAsia" w:ascii="宋体" w:hAnsi="宋体" w:eastAsia="宋体"/>
              </w:rPr>
              <w:t>最后祝愿光明发展越来越好</w:t>
            </w:r>
            <w:r>
              <w:rPr>
                <w:rFonts w:ascii="宋体" w:hAnsi="宋体" w:eastAsia="宋体"/>
              </w:rPr>
              <w:t>!</w:t>
            </w:r>
          </w:p>
          <w:p>
            <w:pPr>
              <w:jc w:val="left"/>
              <w:rPr>
                <w:rFonts w:ascii="宋体" w:hAnsi="宋体" w:eastAsia="宋体"/>
              </w:rPr>
            </w:pPr>
            <w:r>
              <w:rPr>
                <w:rFonts w:hint="eastAsia" w:ascii="宋体" w:hAnsi="宋体" w:eastAsia="宋体"/>
              </w:rPr>
              <w:t>感恩您的审阅</w:t>
            </w:r>
            <w:r>
              <w:rPr>
                <w:rFonts w:ascii="宋体" w:hAnsi="宋体" w:eastAsia="宋体"/>
              </w:rPr>
              <w:t>!</w:t>
            </w:r>
          </w:p>
        </w:tc>
        <w:tc>
          <w:tcPr>
            <w:tcW w:w="536" w:type="pct"/>
            <w:vAlign w:val="center"/>
          </w:tcPr>
          <w:p>
            <w:pPr>
              <w:jc w:val="center"/>
              <w:rPr>
                <w:rFonts w:ascii="宋体" w:hAnsi="宋体" w:eastAsia="宋体"/>
              </w:rPr>
            </w:pPr>
            <w:r>
              <w:rPr>
                <w:rFonts w:hint="eastAsia" w:ascii="宋体" w:hAnsi="宋体" w:eastAsia="宋体"/>
              </w:rPr>
              <w:t>采纳</w:t>
            </w:r>
          </w:p>
        </w:tc>
        <w:tc>
          <w:tcPr>
            <w:tcW w:w="1090" w:type="pct"/>
            <w:vAlign w:val="center"/>
          </w:tcPr>
          <w:p>
            <w:pPr>
              <w:pStyle w:val="9"/>
              <w:numPr>
                <w:ilvl w:val="0"/>
                <w:numId w:val="2"/>
              </w:numPr>
              <w:ind w:firstLineChars="0"/>
              <w:jc w:val="center"/>
              <w:rPr>
                <w:rFonts w:ascii="宋体" w:hAnsi="宋体" w:eastAsia="宋体"/>
              </w:rPr>
            </w:pPr>
            <w:r>
              <w:rPr>
                <w:rFonts w:hint="eastAsia" w:ascii="宋体" w:hAnsi="宋体" w:eastAsia="宋体"/>
              </w:rPr>
              <w:t>该意见不涉及本次规划内容。</w:t>
            </w:r>
          </w:p>
          <w:p>
            <w:pPr>
              <w:jc w:val="center"/>
              <w:rPr>
                <w:rFonts w:ascii="宋体" w:hAnsi="宋体" w:eastAsia="宋体"/>
              </w:rPr>
            </w:pPr>
            <w:r>
              <w:rPr>
                <w:rFonts w:hint="eastAsia" w:ascii="宋体" w:hAnsi="宋体" w:eastAsia="宋体"/>
              </w:rPr>
              <w:t>2、我局</w:t>
            </w:r>
            <w:r>
              <w:rPr>
                <w:rFonts w:ascii="宋体" w:hAnsi="宋体" w:eastAsia="宋体"/>
              </w:rPr>
              <w:t>将</w:t>
            </w:r>
            <w:r>
              <w:rPr>
                <w:rFonts w:hint="eastAsia" w:ascii="宋体" w:hAnsi="宋体" w:eastAsia="宋体"/>
              </w:rPr>
              <w:t>会把</w:t>
            </w:r>
            <w:r>
              <w:rPr>
                <w:rFonts w:ascii="宋体" w:hAnsi="宋体" w:eastAsia="宋体"/>
              </w:rPr>
              <w:t>相关诉求转达区更新整备局</w:t>
            </w:r>
            <w:r>
              <w:rPr>
                <w:rFonts w:hint="eastAsia" w:ascii="宋体" w:hAnsi="宋体" w:eastAsia="宋体"/>
              </w:rPr>
              <w:t>。</w:t>
            </w:r>
          </w:p>
        </w:tc>
      </w:tr>
    </w:tbl>
    <w:p>
      <w:pPr>
        <w:rPr>
          <w:rFonts w:hint="eastAsia"/>
        </w:rPr>
      </w:pPr>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304D3C"/>
    <w:multiLevelType w:val="multilevel"/>
    <w:tmpl w:val="3C304D3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A305B63"/>
    <w:multiLevelType w:val="multilevel"/>
    <w:tmpl w:val="7A305B6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hYTc0MjZmNWUwYTllOGI2ZjMzOWY3Yzg3NmQwMzIifQ=="/>
  </w:docVars>
  <w:rsids>
    <w:rsidRoot w:val="008D6DD7"/>
    <w:rsid w:val="001C48C5"/>
    <w:rsid w:val="001C6B93"/>
    <w:rsid w:val="001D55D7"/>
    <w:rsid w:val="001D6733"/>
    <w:rsid w:val="001F3B19"/>
    <w:rsid w:val="002C7639"/>
    <w:rsid w:val="004901D1"/>
    <w:rsid w:val="006A5DB5"/>
    <w:rsid w:val="00796AB0"/>
    <w:rsid w:val="008159BD"/>
    <w:rsid w:val="008D6DD7"/>
    <w:rsid w:val="009C4AF3"/>
    <w:rsid w:val="00AF2919"/>
    <w:rsid w:val="00BC4626"/>
    <w:rsid w:val="00C17214"/>
    <w:rsid w:val="00C2227C"/>
    <w:rsid w:val="00E8731C"/>
    <w:rsid w:val="01647B64"/>
    <w:rsid w:val="15307CAF"/>
    <w:rsid w:val="765546A8"/>
    <w:rsid w:val="7F6F3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1665</Words>
  <Characters>1727</Characters>
  <Lines>12</Lines>
  <Paragraphs>3</Paragraphs>
  <TotalTime>10</TotalTime>
  <ScaleCrop>false</ScaleCrop>
  <LinksUpToDate>false</LinksUpToDate>
  <CharactersWithSpaces>1740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2023-02-16T15:58:00Z</dcterms:created>
  <dc:creator>叶芳芳</dc:creator>
  <cp:lastModifiedBy>Administrator</cp:lastModifiedBy>
  <dcterms:modified xsi:type="dcterms:W3CDTF">2023-06-28T09:56:34Z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105A543A1A0281A881AD9A645B7C2B78</vt:lpwstr>
  </property>
</Properties>
</file>