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不动产登记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全流程网办、一网通办</w:t>
      </w:r>
      <w:r>
        <w:rPr>
          <w:rFonts w:hint="eastAsia" w:ascii="宋体" w:hAnsi="宋体" w:eastAsia="宋体" w:cs="宋体"/>
          <w:b/>
          <w:sz w:val="44"/>
          <w:szCs w:val="44"/>
        </w:rPr>
        <w:t>操作指引（试行）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9"/>
        <w:widowControl/>
        <w:spacing w:line="432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为进一步优化营商环境，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“双提升”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服务能力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根据《国务院关于开展营商环境创新试点工作的意见》（国发〔2021〕24号）《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国务院办公厅关于加快推进“一件事一次办”打造政务服务升级版的指导意见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国办发〔2022〕32号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）和《</w:t>
      </w:r>
      <w:r>
        <w:rPr>
          <w:rFonts w:hint="eastAsia" w:ascii="仿宋" w:hAnsi="仿宋" w:eastAsia="仿宋" w:cs="仿宋"/>
          <w:sz w:val="32"/>
          <w:szCs w:val="32"/>
        </w:rPr>
        <w:t>深圳市人民政府关于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市建设营商环境创新试点城市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的通知》（</w:t>
      </w:r>
      <w:r>
        <w:rPr>
          <w:rFonts w:hint="eastAsia" w:ascii="仿宋" w:hAnsi="仿宋" w:eastAsia="仿宋" w:cs="仿宋"/>
          <w:sz w:val="32"/>
          <w:szCs w:val="32"/>
        </w:rPr>
        <w:t>深府〔202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）要求，</w:t>
      </w:r>
      <w:r>
        <w:rPr>
          <w:rFonts w:hint="eastAsia" w:ascii="仿宋" w:hAnsi="仿宋" w:eastAsia="仿宋" w:cs="仿宋"/>
          <w:sz w:val="32"/>
          <w:szCs w:val="32"/>
        </w:rPr>
        <w:t>结合实际，制定本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指引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适用范围</w:t>
      </w:r>
    </w:p>
    <w:p>
      <w:pPr>
        <w:spacing w:before="12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本《指引》所称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全流程网办、一网通办</w:t>
      </w:r>
      <w:r>
        <w:rPr>
          <w:rFonts w:hint="eastAsia" w:ascii="仿宋" w:hAnsi="仿宋" w:eastAsia="仿宋" w:cs="仿宋"/>
          <w:sz w:val="32"/>
          <w:szCs w:val="32"/>
        </w:rPr>
        <w:t>，是指申请人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或嘱托机关</w:t>
      </w: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相关申办平台</w:t>
      </w:r>
      <w:r>
        <w:rPr>
          <w:rFonts w:hint="eastAsia" w:ascii="仿宋" w:hAnsi="仿宋" w:eastAsia="仿宋" w:cs="仿宋"/>
          <w:sz w:val="32"/>
          <w:szCs w:val="32"/>
        </w:rPr>
        <w:t>实名认证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核实身份后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在线提出申请或嘱托，由不动产登记机构进行线上受理、审核并出具办理结果。</w:t>
      </w:r>
      <w:r>
        <w:rPr>
          <w:rFonts w:hint="eastAsia" w:ascii="仿宋" w:hAnsi="仿宋" w:eastAsia="仿宋" w:cs="仿宋"/>
          <w:sz w:val="32"/>
          <w:szCs w:val="32"/>
        </w:rPr>
        <w:t>本《指引》适用于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符合下列要求的不动产登记事项：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申请人或嘱托机关的身份已通过申办平台的身份识别和验证，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并具备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符合要求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电子签名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属于登记职责范围,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申请材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料齐全、符合法定形式。</w:t>
      </w:r>
    </w:p>
    <w:p>
      <w:pPr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申请或嘱托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b/>
          <w:color w:val="0000FF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或嘱托机关</w:t>
      </w:r>
      <w:r>
        <w:rPr>
          <w:rFonts w:hint="eastAsia" w:ascii="仿宋" w:hAnsi="仿宋" w:eastAsia="仿宋" w:cs="仿宋"/>
          <w:sz w:val="32"/>
          <w:szCs w:val="32"/>
        </w:rPr>
        <w:t>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网上申办</w:t>
      </w:r>
      <w:r>
        <w:rPr>
          <w:rFonts w:hint="eastAsia" w:ascii="仿宋" w:hAnsi="仿宋" w:eastAsia="仿宋" w:cs="仿宋"/>
          <w:sz w:val="32"/>
          <w:szCs w:val="32"/>
        </w:rPr>
        <w:t>平台实名认证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核实身份后</w:t>
      </w:r>
      <w:r>
        <w:rPr>
          <w:rFonts w:hint="eastAsia" w:ascii="仿宋" w:hAnsi="仿宋" w:eastAsia="仿宋" w:cs="仿宋"/>
          <w:sz w:val="32"/>
          <w:szCs w:val="32"/>
        </w:rPr>
        <w:t>发起申请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或嘱托机关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已通过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身份认证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平台进行身份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核实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多方或多人通过互联网发起申请的，申请时间以最后一方提交时间为准。</w:t>
      </w:r>
    </w:p>
    <w:p>
      <w:pPr>
        <w:numPr>
          <w:ilvl w:val="-1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（二）不动产登记申请材料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1.《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"/>
        </w:rPr>
        <w:t>深圳市不动产登记申请表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询问记录、承诺书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申请人按登记事项的具体要求在线填写后，由系统自动生成，并由申请人电子签署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2.身份证明材料</w:t>
      </w:r>
    </w:p>
    <w:p>
      <w:pPr>
        <w:numPr>
          <w:ilvl w:val="-1"/>
          <w:numId w:val="0"/>
        </w:numPr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能通过共享渠道获取电子证照的，直接获取，申请人无需重复提交；不能通过共享渠道获取电子证照的，可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将真实有效的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身份证明材料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（正反面）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拍照或者扫描后在线提交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3.登记原因等证明材料</w:t>
      </w:r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可以通过政府部门间或登记机构认可的共享渠道获取的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直接获取，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申请人无需重复提交；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无法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通过共享渠道获取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的，可以将真实有效的纸质材料拍照或者扫描后在线提交，属于申请人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签署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在线确认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为其本人亲自签署且为其本人真实意思表达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作为申请材料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sz w:val="32"/>
          <w:szCs w:val="32"/>
        </w:rPr>
        <w:t>税费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/>
          <w:sz w:val="32"/>
          <w:szCs w:val="32"/>
        </w:rPr>
        <w:t>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需纳税申报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的，由申请人在申办平台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申报材料的签署和提交参照不动产登记申请材料进行，申报完成后由系统在线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生成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申报表。</w:t>
      </w:r>
    </w:p>
    <w:p>
      <w:pPr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（四）水电气等申请材料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需申请用水、用电、用气等开户、过户的，申请人可以一并在申办平台填写信息并提交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有关部门或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要求的相关材料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before="0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</w:t>
      </w:r>
    </w:p>
    <w:p>
      <w:pPr>
        <w:pStyle w:val="8"/>
        <w:ind w:firstLine="640" w:firstLineChars="200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申请人或者嘱托人通过相关平台发起的不动产登记申请，根据技术支持情况，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由系统自动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或人工方式受理。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人工方式受理的，受理部门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当在系统签收电子材料后的1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按照要求审查受理，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必要时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，应当进一步核实有关情况。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符合以下条件的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，应当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作出《业务受理通知书》，并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推送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申请人：</w:t>
      </w:r>
    </w:p>
    <w:p>
      <w:pPr>
        <w:pStyle w:val="8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申请材料齐全、完整、符合法定形式；</w:t>
      </w:r>
    </w:p>
    <w:p>
      <w:pPr>
        <w:pStyle w:val="8"/>
        <w:ind w:firstLine="640" w:firstLineChars="200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申请事项属于本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登记机构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职权范围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申请材料不齐全或不符合法定形式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不属于登记中心职权范围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作出《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不予受理告知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书》，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告知不予受理的理由和依据，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告知申请人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需要补齐材料的，应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不予受理告知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书》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bidi="ar"/>
        </w:rPr>
        <w:t>一次性告知需要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 w:bidi="ar"/>
        </w:rPr>
        <w:t>补齐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bidi="ar"/>
        </w:rPr>
        <w:t>的全部内容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2"/>
        </w:numPr>
        <w:spacing w:before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申请事项涉及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纳税、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水电气等过户的，申请材料应当符合有关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部门或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企业的要求，不具备受理条件，不影响登记事项的独立受理。受理后将有关材料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或信息推送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给有关部门或者企业。</w:t>
      </w:r>
    </w:p>
    <w:p>
      <w:pPr>
        <w:widowControl/>
        <w:spacing w:before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（四）同一不动产有两个及以上登记申请的，按照申请的先后顺序予以受理。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sz w:val="32"/>
          <w:szCs w:val="32"/>
        </w:rPr>
        <w:t>审核</w:t>
      </w:r>
    </w:p>
    <w:p>
      <w:pPr>
        <w:numPr>
          <w:ilvl w:val="-1"/>
          <w:numId w:val="0"/>
        </w:numPr>
        <w:adjustRightInd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受理后，由系统根据设定的分文规则，自动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分派到相应的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办理部门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sz w:val="32"/>
          <w:szCs w:val="32"/>
        </w:rPr>
        <w:t>人员应按照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现行规定</w:t>
      </w:r>
      <w:r>
        <w:rPr>
          <w:rFonts w:hint="eastAsia" w:ascii="仿宋" w:hAnsi="仿宋" w:eastAsia="仿宋" w:cs="仿宋"/>
          <w:sz w:val="32"/>
          <w:szCs w:val="32"/>
        </w:rPr>
        <w:t>进行审核，并注意以下事项：</w:t>
      </w:r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仿宋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（一）对非电子证照的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身份证明材料，应通过共享渠道核实身份信息。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未经在线确认或者无法通过共享渠道核实的其他申请材料，可通知申请人自主选择邮寄或现场提交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（二）审核人员应按规定对申请事项及申请材料进行审查。审查过程中，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审核人员认为需要进一步核实有关情况的，可以要求申请人进一步提供有证明力的材料或者进一步询问申请人，在实现技术支持后，询问宜通过视频方式进行。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/>
        </w:rPr>
        <w:t>按规定需缴纳税费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应当通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  <w:t>知申请人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缴纳相关税费。</w:t>
      </w:r>
    </w:p>
    <w:p>
      <w:pPr>
        <w:numPr>
          <w:ilvl w:val="-1"/>
          <w:numId w:val="0"/>
        </w:numPr>
        <w:spacing w:before="120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五、登簿及发证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经审查符合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登记条件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登簿人员按现行规定将登记事项记载于登记簿，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并将办理结果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通知申请人，申请人可网上查询、下载和打印办理结果。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按规定需要收回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但未收回的，由系统自动在登记机构门户网站上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公告作废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申请人选择邮寄纸质证书证明的，按全城通办规则缮证并发放纸质结果；申请人选择到场领取的，暂不缮写证书证明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待申请人选择任一服务大厅领取时，再缮写并发放证书证明。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经审查不符合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登记条件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不予登记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highlight w:val="none"/>
          <w:lang w:val="en-US" w:eastAsia="zh-CN" w:bidi="ar-SA"/>
        </w:rPr>
        <w:t>，按规定作出不予登记或驳回登记文书，并将相关文书电子送达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申请水、电、气等开（过）户业务一并办理的，办理结果同时推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有关部门或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企业。</w:t>
      </w:r>
    </w:p>
    <w:p>
      <w:pPr>
        <w:pStyle w:val="2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六、归档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sz w:val="32"/>
          <w:szCs w:val="32"/>
        </w:rPr>
        <w:t>电子档案登记资料管理要求办理立卷归档。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有纸质材料的，应注意与电子档案的关联。视频以及审核过程中的核查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应一并归档。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304191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5874E"/>
    <w:multiLevelType w:val="singleLevel"/>
    <w:tmpl w:val="DA9587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DD131F"/>
    <w:multiLevelType w:val="singleLevel"/>
    <w:tmpl w:val="06DD131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ODkyN2QxODkwZGMyZDk1Y2ZhNzJlNDJkMGJiYzAifQ=="/>
    <w:docVar w:name="KSO_WPS_MARK_KEY" w:val="17fb8cb6-0cff-4bfa-84ff-f21bf7b510d1"/>
  </w:docVars>
  <w:rsids>
    <w:rsidRoot w:val="00CF2E01"/>
    <w:rsid w:val="0002455B"/>
    <w:rsid w:val="00026B96"/>
    <w:rsid w:val="00026E2E"/>
    <w:rsid w:val="00046FC6"/>
    <w:rsid w:val="00051BDA"/>
    <w:rsid w:val="00055EBA"/>
    <w:rsid w:val="00063BDB"/>
    <w:rsid w:val="00064D1F"/>
    <w:rsid w:val="00075C23"/>
    <w:rsid w:val="00087CAA"/>
    <w:rsid w:val="0009360B"/>
    <w:rsid w:val="00095937"/>
    <w:rsid w:val="00096952"/>
    <w:rsid w:val="000B3D93"/>
    <w:rsid w:val="000B69D9"/>
    <w:rsid w:val="000C20DC"/>
    <w:rsid w:val="000D0E2C"/>
    <w:rsid w:val="0011262D"/>
    <w:rsid w:val="00130D3C"/>
    <w:rsid w:val="0013745A"/>
    <w:rsid w:val="001635B7"/>
    <w:rsid w:val="0018414A"/>
    <w:rsid w:val="001A40C9"/>
    <w:rsid w:val="001B250D"/>
    <w:rsid w:val="001B2AF3"/>
    <w:rsid w:val="001C6E3F"/>
    <w:rsid w:val="001E01C0"/>
    <w:rsid w:val="001E4382"/>
    <w:rsid w:val="001F079B"/>
    <w:rsid w:val="00220F30"/>
    <w:rsid w:val="00261452"/>
    <w:rsid w:val="00261E57"/>
    <w:rsid w:val="002C684B"/>
    <w:rsid w:val="002E7003"/>
    <w:rsid w:val="00317C96"/>
    <w:rsid w:val="0033565C"/>
    <w:rsid w:val="00347BE0"/>
    <w:rsid w:val="003543BF"/>
    <w:rsid w:val="00364CB1"/>
    <w:rsid w:val="00366476"/>
    <w:rsid w:val="003724C2"/>
    <w:rsid w:val="003C5C21"/>
    <w:rsid w:val="003E11DE"/>
    <w:rsid w:val="003F0F58"/>
    <w:rsid w:val="0040287B"/>
    <w:rsid w:val="00430E47"/>
    <w:rsid w:val="0043241F"/>
    <w:rsid w:val="00464CCA"/>
    <w:rsid w:val="00484B89"/>
    <w:rsid w:val="00493E14"/>
    <w:rsid w:val="004A001F"/>
    <w:rsid w:val="004E675C"/>
    <w:rsid w:val="004F036D"/>
    <w:rsid w:val="00580876"/>
    <w:rsid w:val="00584BB3"/>
    <w:rsid w:val="0059093A"/>
    <w:rsid w:val="005B4232"/>
    <w:rsid w:val="005E27EF"/>
    <w:rsid w:val="005E5E1B"/>
    <w:rsid w:val="00623B4B"/>
    <w:rsid w:val="006245CB"/>
    <w:rsid w:val="00632B10"/>
    <w:rsid w:val="006562D5"/>
    <w:rsid w:val="006C21CE"/>
    <w:rsid w:val="006D2C13"/>
    <w:rsid w:val="006E4681"/>
    <w:rsid w:val="006E6349"/>
    <w:rsid w:val="006E78BE"/>
    <w:rsid w:val="0070353F"/>
    <w:rsid w:val="0071599C"/>
    <w:rsid w:val="00724465"/>
    <w:rsid w:val="007451A2"/>
    <w:rsid w:val="007550A1"/>
    <w:rsid w:val="00777344"/>
    <w:rsid w:val="00780C08"/>
    <w:rsid w:val="0078281C"/>
    <w:rsid w:val="00785EF4"/>
    <w:rsid w:val="00795F79"/>
    <w:rsid w:val="007C28EE"/>
    <w:rsid w:val="007C533D"/>
    <w:rsid w:val="007D4720"/>
    <w:rsid w:val="0080505E"/>
    <w:rsid w:val="00823A4B"/>
    <w:rsid w:val="00826A5B"/>
    <w:rsid w:val="00847CBC"/>
    <w:rsid w:val="00863EE7"/>
    <w:rsid w:val="00883418"/>
    <w:rsid w:val="008B5F4B"/>
    <w:rsid w:val="008D37A5"/>
    <w:rsid w:val="008E3733"/>
    <w:rsid w:val="0092358B"/>
    <w:rsid w:val="00947A19"/>
    <w:rsid w:val="00975882"/>
    <w:rsid w:val="00983A44"/>
    <w:rsid w:val="00986C92"/>
    <w:rsid w:val="009C55BE"/>
    <w:rsid w:val="009C6B5E"/>
    <w:rsid w:val="009C75A2"/>
    <w:rsid w:val="009D39C9"/>
    <w:rsid w:val="009D5597"/>
    <w:rsid w:val="009E4023"/>
    <w:rsid w:val="009F3386"/>
    <w:rsid w:val="00A13D49"/>
    <w:rsid w:val="00A20AE7"/>
    <w:rsid w:val="00A476B8"/>
    <w:rsid w:val="00A74049"/>
    <w:rsid w:val="00A804BB"/>
    <w:rsid w:val="00A81657"/>
    <w:rsid w:val="00AD054F"/>
    <w:rsid w:val="00AF06EA"/>
    <w:rsid w:val="00B071F6"/>
    <w:rsid w:val="00B50F40"/>
    <w:rsid w:val="00B62A3E"/>
    <w:rsid w:val="00BB4C82"/>
    <w:rsid w:val="00BC4413"/>
    <w:rsid w:val="00BD3F80"/>
    <w:rsid w:val="00C074E3"/>
    <w:rsid w:val="00C23C21"/>
    <w:rsid w:val="00C945D8"/>
    <w:rsid w:val="00CA1A1A"/>
    <w:rsid w:val="00CA38C9"/>
    <w:rsid w:val="00CC4B73"/>
    <w:rsid w:val="00CF2E01"/>
    <w:rsid w:val="00D15A80"/>
    <w:rsid w:val="00D3512E"/>
    <w:rsid w:val="00D62D84"/>
    <w:rsid w:val="00D63746"/>
    <w:rsid w:val="00D741E8"/>
    <w:rsid w:val="00D809DA"/>
    <w:rsid w:val="00DB6140"/>
    <w:rsid w:val="00DB7420"/>
    <w:rsid w:val="00DC4EDF"/>
    <w:rsid w:val="00E00D65"/>
    <w:rsid w:val="00E37CBC"/>
    <w:rsid w:val="00E53C4C"/>
    <w:rsid w:val="00EC5FF5"/>
    <w:rsid w:val="00ED3EE2"/>
    <w:rsid w:val="00EE140B"/>
    <w:rsid w:val="00EF656B"/>
    <w:rsid w:val="00F416DA"/>
    <w:rsid w:val="00F56855"/>
    <w:rsid w:val="00F723E1"/>
    <w:rsid w:val="00F95305"/>
    <w:rsid w:val="00FB1878"/>
    <w:rsid w:val="00FC3D08"/>
    <w:rsid w:val="00FC7274"/>
    <w:rsid w:val="00FD26D1"/>
    <w:rsid w:val="00FE7B7C"/>
    <w:rsid w:val="057523EE"/>
    <w:rsid w:val="05866A6A"/>
    <w:rsid w:val="078067E6"/>
    <w:rsid w:val="08144141"/>
    <w:rsid w:val="08D75A48"/>
    <w:rsid w:val="09F61A35"/>
    <w:rsid w:val="0A6E79D9"/>
    <w:rsid w:val="0B282EEC"/>
    <w:rsid w:val="0B711458"/>
    <w:rsid w:val="0C470109"/>
    <w:rsid w:val="0CBF1375"/>
    <w:rsid w:val="0CC72005"/>
    <w:rsid w:val="0CD9034B"/>
    <w:rsid w:val="0E3408DE"/>
    <w:rsid w:val="0F163040"/>
    <w:rsid w:val="0FBD6C2D"/>
    <w:rsid w:val="0FDF43B5"/>
    <w:rsid w:val="10D14F61"/>
    <w:rsid w:val="10F72E1C"/>
    <w:rsid w:val="11503CD5"/>
    <w:rsid w:val="11CC42C0"/>
    <w:rsid w:val="15266C13"/>
    <w:rsid w:val="15574A56"/>
    <w:rsid w:val="15BF45F7"/>
    <w:rsid w:val="16C80126"/>
    <w:rsid w:val="17585181"/>
    <w:rsid w:val="1A167654"/>
    <w:rsid w:val="1ADC0794"/>
    <w:rsid w:val="1B4801E0"/>
    <w:rsid w:val="1E5A7860"/>
    <w:rsid w:val="1FAD2288"/>
    <w:rsid w:val="1FB74C2D"/>
    <w:rsid w:val="20932F0F"/>
    <w:rsid w:val="230D0299"/>
    <w:rsid w:val="26310684"/>
    <w:rsid w:val="2A093B73"/>
    <w:rsid w:val="2A9A5929"/>
    <w:rsid w:val="2AA60983"/>
    <w:rsid w:val="2D775043"/>
    <w:rsid w:val="2DF226B6"/>
    <w:rsid w:val="2F3E059B"/>
    <w:rsid w:val="2FC90274"/>
    <w:rsid w:val="31093867"/>
    <w:rsid w:val="31BF03FB"/>
    <w:rsid w:val="3283637B"/>
    <w:rsid w:val="32B6688F"/>
    <w:rsid w:val="33363C14"/>
    <w:rsid w:val="339E0C63"/>
    <w:rsid w:val="3425451C"/>
    <w:rsid w:val="36262778"/>
    <w:rsid w:val="36F56932"/>
    <w:rsid w:val="373C682B"/>
    <w:rsid w:val="399B1176"/>
    <w:rsid w:val="3AA35340"/>
    <w:rsid w:val="3BCF20D9"/>
    <w:rsid w:val="3BF20A00"/>
    <w:rsid w:val="3C9F5CBB"/>
    <w:rsid w:val="3F7B6B0B"/>
    <w:rsid w:val="404F6B6A"/>
    <w:rsid w:val="41885976"/>
    <w:rsid w:val="43F953A2"/>
    <w:rsid w:val="45674AAF"/>
    <w:rsid w:val="457801A9"/>
    <w:rsid w:val="45BB6C39"/>
    <w:rsid w:val="47FE3506"/>
    <w:rsid w:val="489A2776"/>
    <w:rsid w:val="4BF65490"/>
    <w:rsid w:val="4C4A06A0"/>
    <w:rsid w:val="4E4C29CF"/>
    <w:rsid w:val="4FBB6C03"/>
    <w:rsid w:val="50CD3413"/>
    <w:rsid w:val="51093060"/>
    <w:rsid w:val="52300BA1"/>
    <w:rsid w:val="52C80E20"/>
    <w:rsid w:val="53953DA9"/>
    <w:rsid w:val="55055F70"/>
    <w:rsid w:val="550B246A"/>
    <w:rsid w:val="55117DAE"/>
    <w:rsid w:val="551B1B43"/>
    <w:rsid w:val="556F4965"/>
    <w:rsid w:val="557D3040"/>
    <w:rsid w:val="56002BA6"/>
    <w:rsid w:val="574D5E68"/>
    <w:rsid w:val="5B485D6E"/>
    <w:rsid w:val="5C8E2D3A"/>
    <w:rsid w:val="5DD60701"/>
    <w:rsid w:val="5DD94EAC"/>
    <w:rsid w:val="5F1C6CD8"/>
    <w:rsid w:val="5F3E290C"/>
    <w:rsid w:val="605E43E2"/>
    <w:rsid w:val="61B22AB4"/>
    <w:rsid w:val="63296A79"/>
    <w:rsid w:val="638A6D95"/>
    <w:rsid w:val="6441039A"/>
    <w:rsid w:val="66E22F4D"/>
    <w:rsid w:val="670F4F80"/>
    <w:rsid w:val="6AA7627D"/>
    <w:rsid w:val="6D0F3897"/>
    <w:rsid w:val="6E5F5D8A"/>
    <w:rsid w:val="6EBF2EFF"/>
    <w:rsid w:val="71CC2073"/>
    <w:rsid w:val="742E7FA0"/>
    <w:rsid w:val="75095759"/>
    <w:rsid w:val="77533FFE"/>
    <w:rsid w:val="77FC7CE8"/>
    <w:rsid w:val="788452AA"/>
    <w:rsid w:val="7BFC4C1A"/>
    <w:rsid w:val="7C7C412B"/>
    <w:rsid w:val="7F7B011C"/>
    <w:rsid w:val="7F91C8D9"/>
    <w:rsid w:val="7FCF47F0"/>
    <w:rsid w:val="9CEFFA24"/>
    <w:rsid w:val="DDFF1298"/>
    <w:rsid w:val="DEAF690E"/>
    <w:rsid w:val="FBFFB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00"/>
      <w:u w:val="none"/>
    </w:rPr>
  </w:style>
  <w:style w:type="character" w:styleId="14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4"/>
    <w:semiHidden/>
    <w:qFormat/>
    <w:uiPriority w:val="99"/>
  </w:style>
  <w:style w:type="character" w:customStyle="1" w:styleId="20">
    <w:name w:val="bg02"/>
    <w:basedOn w:val="11"/>
    <w:qFormat/>
    <w:uiPriority w:val="0"/>
  </w:style>
  <w:style w:type="character" w:customStyle="1" w:styleId="21">
    <w:name w:val="m01"/>
    <w:basedOn w:val="11"/>
    <w:qFormat/>
    <w:uiPriority w:val="0"/>
  </w:style>
  <w:style w:type="character" w:customStyle="1" w:styleId="22">
    <w:name w:val="m011"/>
    <w:basedOn w:val="11"/>
    <w:qFormat/>
    <w:uiPriority w:val="0"/>
  </w:style>
  <w:style w:type="character" w:customStyle="1" w:styleId="23">
    <w:name w:val="tabg"/>
    <w:basedOn w:val="11"/>
    <w:qFormat/>
    <w:uiPriority w:val="0"/>
    <w:rPr>
      <w:color w:val="FFFFFF"/>
      <w:sz w:val="27"/>
      <w:szCs w:val="27"/>
    </w:rPr>
  </w:style>
  <w:style w:type="character" w:customStyle="1" w:styleId="24">
    <w:name w:val="bg01"/>
    <w:basedOn w:val="11"/>
    <w:qFormat/>
    <w:uiPriority w:val="0"/>
  </w:style>
  <w:style w:type="character" w:customStyle="1" w:styleId="25">
    <w:name w:val="more4"/>
    <w:basedOn w:val="11"/>
    <w:qFormat/>
    <w:uiPriority w:val="0"/>
    <w:rPr>
      <w:color w:val="666666"/>
      <w:sz w:val="18"/>
      <w:szCs w:val="18"/>
    </w:rPr>
  </w:style>
  <w:style w:type="character" w:customStyle="1" w:styleId="26">
    <w:name w:val="laypage_curr"/>
    <w:basedOn w:val="11"/>
    <w:qFormat/>
    <w:uiPriority w:val="0"/>
    <w:rPr>
      <w:color w:val="FFFDF4"/>
      <w:shd w:val="clear" w:fill="0B67A6"/>
    </w:rPr>
  </w:style>
  <w:style w:type="character" w:customStyle="1" w:styleId="27">
    <w:name w:val="font"/>
    <w:basedOn w:val="11"/>
    <w:qFormat/>
    <w:uiPriority w:val="0"/>
  </w:style>
  <w:style w:type="character" w:customStyle="1" w:styleId="28">
    <w:name w:val="font1"/>
    <w:basedOn w:val="11"/>
    <w:qFormat/>
    <w:uiPriority w:val="0"/>
  </w:style>
  <w:style w:type="character" w:customStyle="1" w:styleId="29">
    <w:name w:val="name"/>
    <w:basedOn w:val="11"/>
    <w:qFormat/>
    <w:uiPriority w:val="0"/>
    <w:rPr>
      <w:color w:val="6A6A6A"/>
      <w:u w:val="single"/>
    </w:rPr>
  </w:style>
  <w:style w:type="character" w:customStyle="1" w:styleId="30">
    <w:name w:val="dates"/>
    <w:basedOn w:val="11"/>
    <w:qFormat/>
    <w:uiPriority w:val="0"/>
  </w:style>
  <w:style w:type="character" w:customStyle="1" w:styleId="31">
    <w:name w:val="hover19"/>
    <w:basedOn w:val="11"/>
    <w:qFormat/>
    <w:uiPriority w:val="0"/>
    <w:rPr>
      <w:color w:val="015293"/>
    </w:rPr>
  </w:style>
  <w:style w:type="character" w:customStyle="1" w:styleId="32">
    <w:name w:val="hover18"/>
    <w:basedOn w:val="11"/>
    <w:qFormat/>
    <w:uiPriority w:val="0"/>
    <w:rPr>
      <w:color w:val="01529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2066</Words>
  <Characters>2088</Characters>
  <Lines>26</Lines>
  <Paragraphs>7</Paragraphs>
  <TotalTime>1</TotalTime>
  <ScaleCrop>false</ScaleCrop>
  <LinksUpToDate>false</LinksUpToDate>
  <CharactersWithSpaces>2927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2020-05-29T02:53:00Z</dcterms:created>
  <dc:creator>null</dc:creator>
  <cp:lastModifiedBy>李晓</cp:lastModifiedBy>
  <cp:lastPrinted>2022-12-16T22:34:00Z</cp:lastPrinted>
  <dcterms:modified xsi:type="dcterms:W3CDTF">2023-03-10T07:42:46Z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C40E5153346145CB8E4A433C60585BDC</vt:lpwstr>
  </property>
</Properties>
</file>