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line="360" w:lineRule="auto"/>
        <w:ind w:firstLine="0" w:firstLineChars="0"/>
        <w:jc w:val="center"/>
        <w:rPr>
          <w:rFonts w:ascii="黑体" w:hAnsi="黑体" w:eastAsia="黑体" w:cs="黑体"/>
          <w:b/>
          <w:bCs/>
          <w:sz w:val="44"/>
          <w:szCs w:val="44"/>
        </w:rPr>
      </w:pPr>
      <w:r>
        <w:rPr>
          <w:rFonts w:hint="eastAsia" w:ascii="黑体" w:hAnsi="黑体" w:eastAsia="黑体" w:cs="黑体"/>
          <w:b/>
          <w:bCs/>
          <w:sz w:val="44"/>
          <w:szCs w:val="44"/>
        </w:rPr>
        <w:t>《龙岗区生态廊道规划前期研究》采购需求</w:t>
      </w:r>
    </w:p>
    <w:p>
      <w:pPr>
        <w:pStyle w:val="7"/>
        <w:spacing w:line="360" w:lineRule="auto"/>
        <w:ind w:firstLine="883"/>
        <w:jc w:val="center"/>
        <w:rPr>
          <w:rFonts w:ascii="黑体" w:hAnsi="黑体" w:eastAsia="黑体" w:cs="黑体"/>
          <w:b/>
          <w:bCs/>
          <w:sz w:val="44"/>
          <w:szCs w:val="44"/>
        </w:rPr>
      </w:pPr>
    </w:p>
    <w:p>
      <w:pPr>
        <w:pStyle w:val="7"/>
        <w:spacing w:line="560" w:lineRule="exact"/>
        <w:ind w:firstLine="602"/>
        <w:rPr>
          <w:rFonts w:ascii="仿宋" w:hAnsi="仿宋" w:eastAsia="仿宋"/>
          <w:b/>
          <w:bCs/>
          <w:sz w:val="30"/>
          <w:szCs w:val="30"/>
        </w:rPr>
      </w:pPr>
      <w:r>
        <w:rPr>
          <w:rFonts w:hint="eastAsia" w:ascii="仿宋" w:hAnsi="仿宋" w:eastAsia="仿宋"/>
          <w:b/>
          <w:bCs/>
          <w:sz w:val="30"/>
          <w:szCs w:val="30"/>
        </w:rPr>
        <w:t>一、采购项目概况</w:t>
      </w:r>
      <w:bookmarkStart w:id="0" w:name="_GoBack"/>
      <w:bookmarkEnd w:id="0"/>
    </w:p>
    <w:p>
      <w:pPr>
        <w:pStyle w:val="7"/>
        <w:spacing w:line="360" w:lineRule="auto"/>
        <w:ind w:firstLine="600"/>
        <w:rPr>
          <w:rFonts w:ascii="仿宋" w:hAnsi="仿宋" w:eastAsia="仿宋"/>
          <w:sz w:val="30"/>
          <w:szCs w:val="30"/>
        </w:rPr>
      </w:pPr>
      <w:r>
        <w:rPr>
          <w:rFonts w:ascii="仿宋" w:hAnsi="仿宋" w:eastAsia="仿宋"/>
          <w:sz w:val="30"/>
          <w:szCs w:val="30"/>
        </w:rPr>
        <w:t>1</w:t>
      </w:r>
      <w:r>
        <w:rPr>
          <w:rFonts w:hint="eastAsia" w:ascii="仿宋" w:hAnsi="仿宋" w:eastAsia="仿宋"/>
          <w:sz w:val="30"/>
          <w:szCs w:val="30"/>
        </w:rPr>
        <w:t>、落实生态文明建设时代要求</w:t>
      </w:r>
    </w:p>
    <w:p>
      <w:pPr>
        <w:pStyle w:val="7"/>
        <w:spacing w:line="360" w:lineRule="auto"/>
        <w:ind w:firstLine="600"/>
        <w:rPr>
          <w:rFonts w:ascii="仿宋" w:hAnsi="仿宋" w:eastAsia="仿宋"/>
          <w:sz w:val="30"/>
          <w:szCs w:val="30"/>
        </w:rPr>
      </w:pPr>
      <w:r>
        <w:rPr>
          <w:rFonts w:hint="eastAsia" w:ascii="仿宋" w:hAnsi="仿宋" w:eastAsia="仿宋"/>
          <w:sz w:val="30"/>
          <w:szCs w:val="30"/>
        </w:rPr>
        <w:t>生态文明建设是与时俱进的时代命题。</w:t>
      </w:r>
      <w:r>
        <w:rPr>
          <w:rFonts w:hint="eastAsia" w:ascii="仿宋" w:hAnsi="仿宋" w:eastAsia="仿宋"/>
          <w:sz w:val="30"/>
          <w:szCs w:val="30"/>
          <w:lang w:eastAsia="zh-CN"/>
        </w:rPr>
        <w:t>党的</w:t>
      </w:r>
      <w:r>
        <w:rPr>
          <w:rFonts w:hint="eastAsia" w:ascii="仿宋" w:hAnsi="仿宋" w:eastAsia="仿宋"/>
          <w:sz w:val="30"/>
          <w:szCs w:val="30"/>
        </w:rPr>
        <w:t>十八大以来，习近平总书记亲自谋划、部署、指导、推动生态文明建设和生态环境保护，形成习近平生态文明思想，引领中华民族永续发展。面对资源约束趋紧、环境污染严重、生态系统退化的严峻形势，必须树立尊重自然、顺应自然和保护自然的生态文明理念，把生态文明建设融入经济、政治、文化和社会建设各方面、全过程，坚持节约优先、保护优先、自然恢复的方针，着力推进绿色发展、循环发展、低碳发展，形成资源节约和环境保护的空间格局、产业结构、生产及生活方式。建设生态文明关系人民福祉、关乎民族未来。其中，优化国土空间开发格局、加大自然生态系统和环境保护力度、加强生态文明制度推进是落实生态文明建设的重中之重，而做好生态空间统筹则是落实生态文件建设要求的重要抓手。</w:t>
      </w:r>
    </w:p>
    <w:p>
      <w:pPr>
        <w:pStyle w:val="7"/>
        <w:spacing w:line="360" w:lineRule="auto"/>
        <w:ind w:firstLine="600"/>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、深圳市实施“山海连城计划”要求</w:t>
      </w:r>
    </w:p>
    <w:p>
      <w:pPr>
        <w:pStyle w:val="7"/>
        <w:spacing w:line="360" w:lineRule="auto"/>
        <w:ind w:firstLine="600"/>
        <w:rPr>
          <w:rFonts w:ascii="仿宋" w:hAnsi="仿宋" w:eastAsia="仿宋"/>
          <w:sz w:val="30"/>
          <w:szCs w:val="30"/>
        </w:rPr>
      </w:pPr>
      <w:r>
        <w:rPr>
          <w:rFonts w:hint="eastAsia" w:ascii="仿宋" w:hAnsi="仿宋" w:eastAsia="仿宋"/>
          <w:sz w:val="30"/>
          <w:szCs w:val="30"/>
        </w:rPr>
        <w:t>面对生态文明建设的时代命题和“双区建设”的时代使命，深圳在未来城市发展中以全球标杆城市为愿景，切实服务新时期人民不断升级需求，力求通过挖掘自然生态基底，搭建“一脊一带十八廊”的生态空间结构，实现“通山、达海、贯城、串趣”的生态建设目标，打造“连生态、连生活、连生趣”的“山海连城”生态开发系统，助力深圳建设更生态、更宜居、更美丽、人与自然和谐共生的全球城市典范。作为生态文明时代城市治理探索的重要组成部分，“山海连城计划”将成为统筹部门条块、凝聚建设合力的共识性纲领。“山海连城计划”下，龙岗区应如何融入全市生态空间布局、细化本区生态空间结构，亟需通过系统梳理、分析本区生态底数来明确。</w:t>
      </w:r>
    </w:p>
    <w:p>
      <w:pPr>
        <w:pStyle w:val="7"/>
        <w:spacing w:line="360" w:lineRule="auto"/>
        <w:ind w:firstLine="600"/>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、维护城市生态系统功能要求</w:t>
      </w:r>
    </w:p>
    <w:p>
      <w:pPr>
        <w:pStyle w:val="7"/>
        <w:spacing w:line="360" w:lineRule="auto"/>
        <w:ind w:firstLine="600"/>
        <w:rPr>
          <w:rFonts w:ascii="仿宋" w:hAnsi="仿宋" w:eastAsia="仿宋"/>
          <w:sz w:val="30"/>
          <w:szCs w:val="30"/>
        </w:rPr>
      </w:pPr>
      <w:r>
        <w:rPr>
          <w:rFonts w:ascii="仿宋" w:hAnsi="仿宋" w:eastAsia="仿宋"/>
          <w:sz w:val="30"/>
          <w:szCs w:val="30"/>
        </w:rPr>
        <w:t>2015</w:t>
      </w:r>
      <w:r>
        <w:rPr>
          <w:rFonts w:hint="eastAsia" w:ascii="仿宋" w:hAnsi="仿宋" w:eastAsia="仿宋"/>
          <w:sz w:val="30"/>
          <w:szCs w:val="30"/>
        </w:rPr>
        <w:t>年</w:t>
      </w:r>
      <w:r>
        <w:rPr>
          <w:rFonts w:ascii="仿宋" w:hAnsi="仿宋" w:eastAsia="仿宋"/>
          <w:sz w:val="30"/>
          <w:szCs w:val="30"/>
        </w:rPr>
        <w:t>12</w:t>
      </w:r>
      <w:r>
        <w:rPr>
          <w:rFonts w:hint="eastAsia" w:ascii="仿宋" w:hAnsi="仿宋" w:eastAsia="仿宋"/>
          <w:sz w:val="30"/>
          <w:szCs w:val="30"/>
        </w:rPr>
        <w:t>月</w:t>
      </w:r>
      <w:r>
        <w:rPr>
          <w:rFonts w:ascii="仿宋" w:hAnsi="仿宋" w:eastAsia="仿宋"/>
          <w:sz w:val="30"/>
          <w:szCs w:val="30"/>
        </w:rPr>
        <w:t>20</w:t>
      </w:r>
      <w:r>
        <w:rPr>
          <w:rFonts w:hint="eastAsia" w:ascii="仿宋" w:hAnsi="仿宋" w:eastAsia="仿宋"/>
          <w:sz w:val="30"/>
          <w:szCs w:val="30"/>
        </w:rPr>
        <w:t>日，中央城市工作会议指出，城市发展要把握好生产、生活与生态“三生”空间内在联系，实现生产空间集约高效、生活空间宜居适度、生态空间山清水秀；</w:t>
      </w:r>
      <w:r>
        <w:rPr>
          <w:rFonts w:ascii="仿宋" w:hAnsi="仿宋" w:eastAsia="仿宋"/>
          <w:sz w:val="30"/>
          <w:szCs w:val="30"/>
        </w:rPr>
        <w:t>2019</w:t>
      </w:r>
      <w:r>
        <w:rPr>
          <w:rFonts w:hint="eastAsia" w:ascii="仿宋" w:hAnsi="仿宋" w:eastAsia="仿宋"/>
          <w:sz w:val="30"/>
          <w:szCs w:val="30"/>
        </w:rPr>
        <w:t>年</w:t>
      </w:r>
      <w:r>
        <w:rPr>
          <w:rFonts w:ascii="仿宋" w:hAnsi="仿宋" w:eastAsia="仿宋"/>
          <w:sz w:val="30"/>
          <w:szCs w:val="30"/>
        </w:rPr>
        <w:t>5</w:t>
      </w:r>
      <w:r>
        <w:rPr>
          <w:rFonts w:hint="eastAsia" w:ascii="仿宋" w:hAnsi="仿宋" w:eastAsia="仿宋"/>
          <w:sz w:val="30"/>
          <w:szCs w:val="30"/>
        </w:rPr>
        <w:t>月，中共中央、国务院发布《关于建立国土空间规划体系并监督实施的若干意见》，进一步明确，综合考虑人口分布、经济布局、国土利用、生态环境保护等因素，科学布局“三生”空间。功能上来讲，生态廊道扮演着保护生物多样性、过滤污染物、防风固沙、调控洪水等多种角色，是城市的海绵骨架。落实生态廊道建设不仅对维护城市生态系统功能具有关键作用，也是实施城市修补、生态修复的重要手段，更是联系城市生态空间、隔离城市生产空间、优化城市生活空间的重要途径。因此，在上位规划要求下，为统筹龙岗区生产、生活、生态“三生”空间发展，加快推进生态廊道建设和生态修复实施，特开展龙岗区生态廊道规划前期研究。</w:t>
      </w:r>
    </w:p>
    <w:p>
      <w:pPr>
        <w:pStyle w:val="7"/>
        <w:spacing w:line="360" w:lineRule="auto"/>
        <w:ind w:firstLine="602"/>
        <w:rPr>
          <w:rFonts w:ascii="仿宋" w:hAnsi="仿宋" w:eastAsia="仿宋"/>
          <w:b/>
          <w:sz w:val="30"/>
          <w:szCs w:val="30"/>
        </w:rPr>
      </w:pPr>
      <w:r>
        <w:rPr>
          <w:rFonts w:hint="eastAsia" w:ascii="仿宋" w:hAnsi="仿宋" w:eastAsia="仿宋"/>
          <w:b/>
          <w:sz w:val="30"/>
          <w:szCs w:val="30"/>
        </w:rPr>
        <w:t>二、项目管理和服务要求</w:t>
      </w:r>
    </w:p>
    <w:p>
      <w:pPr>
        <w:pStyle w:val="7"/>
        <w:spacing w:line="360" w:lineRule="auto"/>
        <w:ind w:firstLine="600"/>
        <w:rPr>
          <w:rFonts w:ascii="仿宋" w:hAnsi="仿宋" w:eastAsia="仿宋"/>
          <w:sz w:val="30"/>
          <w:szCs w:val="30"/>
        </w:rPr>
      </w:pPr>
      <w:r>
        <w:rPr>
          <w:rFonts w:hint="eastAsia" w:ascii="仿宋" w:hAnsi="仿宋" w:eastAsia="仿宋"/>
          <w:sz w:val="30"/>
          <w:szCs w:val="30"/>
        </w:rPr>
        <w:t>（一）项目服务内容</w:t>
      </w:r>
    </w:p>
    <w:p>
      <w:pPr>
        <w:pStyle w:val="7"/>
        <w:spacing w:line="360" w:lineRule="auto"/>
        <w:ind w:firstLine="600"/>
        <w:rPr>
          <w:rFonts w:ascii="仿宋" w:hAnsi="仿宋" w:eastAsia="仿宋"/>
          <w:sz w:val="30"/>
          <w:szCs w:val="30"/>
        </w:rPr>
      </w:pPr>
      <w:r>
        <w:rPr>
          <w:rFonts w:hint="eastAsia" w:ascii="仿宋" w:hAnsi="仿宋" w:eastAsia="仿宋"/>
          <w:sz w:val="30"/>
          <w:szCs w:val="30"/>
        </w:rPr>
        <w:t>本次工作内容主要包括基础资料收集、本区生态相关用地梳理与建库、问题分析与下一步发展对策拟定三个部分。</w:t>
      </w:r>
    </w:p>
    <w:p>
      <w:pPr>
        <w:pStyle w:val="7"/>
        <w:spacing w:line="360" w:lineRule="auto"/>
        <w:ind w:firstLine="600"/>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1</w:t>
      </w:r>
      <w:r>
        <w:rPr>
          <w:rFonts w:hint="eastAsia" w:ascii="仿宋" w:hAnsi="仿宋" w:eastAsia="仿宋"/>
          <w:sz w:val="30"/>
          <w:szCs w:val="30"/>
        </w:rPr>
        <w:t>）夯实基础，完成资料收集</w:t>
      </w:r>
    </w:p>
    <w:p>
      <w:pPr>
        <w:pStyle w:val="7"/>
        <w:spacing w:line="360" w:lineRule="auto"/>
        <w:ind w:firstLine="600"/>
        <w:rPr>
          <w:rFonts w:ascii="仿宋" w:hAnsi="仿宋" w:eastAsia="仿宋"/>
          <w:sz w:val="30"/>
          <w:szCs w:val="30"/>
        </w:rPr>
      </w:pPr>
      <w:r>
        <w:rPr>
          <w:rFonts w:hint="eastAsia" w:ascii="仿宋" w:hAnsi="仿宋" w:eastAsia="仿宋"/>
          <w:sz w:val="30"/>
          <w:szCs w:val="30"/>
        </w:rPr>
        <w:t>协调相关职能部门，收集《深圳市总体城市设计和特色风貌保护策略研究》、《深圳市“山海连城计划”概念城市设计》、《深圳市“山海连城计划”规划建设指导手册》、《深圳市国土空间规划（</w:t>
      </w:r>
      <w:r>
        <w:rPr>
          <w:rFonts w:ascii="仿宋" w:hAnsi="仿宋" w:eastAsia="仿宋"/>
          <w:sz w:val="30"/>
          <w:szCs w:val="30"/>
        </w:rPr>
        <w:t>2020-2035</w:t>
      </w:r>
      <w:r>
        <w:rPr>
          <w:rFonts w:hint="eastAsia" w:ascii="仿宋" w:hAnsi="仿宋" w:eastAsia="仿宋"/>
          <w:sz w:val="30"/>
          <w:szCs w:val="30"/>
        </w:rPr>
        <w:t>）》（在编）、《深圳市绿地系统规划（</w:t>
      </w:r>
      <w:r>
        <w:rPr>
          <w:rFonts w:ascii="仿宋" w:hAnsi="仿宋" w:eastAsia="仿宋"/>
          <w:sz w:val="30"/>
          <w:szCs w:val="30"/>
        </w:rPr>
        <w:t>2017-2030</w:t>
      </w:r>
      <w:r>
        <w:rPr>
          <w:rFonts w:hint="eastAsia" w:ascii="仿宋" w:hAnsi="仿宋" w:eastAsia="仿宋"/>
          <w:sz w:val="30"/>
          <w:szCs w:val="30"/>
        </w:rPr>
        <w:t>）》、龙岗区生态空间、绿地（需落实、完善）相关建设要求以及本区已批、在编各类专项规划；同时，充分应用遥感影像、高空全景等可获取资源，对已收集资料完成全面补充。</w:t>
      </w:r>
    </w:p>
    <w:p>
      <w:pPr>
        <w:pStyle w:val="7"/>
        <w:spacing w:line="360" w:lineRule="auto"/>
        <w:ind w:firstLine="600"/>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2</w:t>
      </w:r>
      <w:r>
        <w:rPr>
          <w:rFonts w:hint="eastAsia" w:ascii="仿宋" w:hAnsi="仿宋" w:eastAsia="仿宋"/>
          <w:sz w:val="30"/>
          <w:szCs w:val="30"/>
        </w:rPr>
        <w:t>）系统梳理，完成数据建库</w:t>
      </w:r>
    </w:p>
    <w:p>
      <w:pPr>
        <w:pStyle w:val="7"/>
        <w:spacing w:line="360" w:lineRule="auto"/>
        <w:ind w:firstLine="600"/>
        <w:rPr>
          <w:rFonts w:ascii="仿宋" w:hAnsi="仿宋" w:eastAsia="仿宋"/>
          <w:sz w:val="30"/>
          <w:szCs w:val="30"/>
        </w:rPr>
      </w:pPr>
      <w:r>
        <w:rPr>
          <w:rFonts w:hint="eastAsia" w:ascii="仿宋" w:hAnsi="仿宋" w:eastAsia="仿宋"/>
          <w:sz w:val="30"/>
          <w:szCs w:val="30"/>
        </w:rPr>
        <w:t>在资料收集基础上，首先，系统梳理深圳市生态廊道建设等相关上位规划、要求以及龙岗区生态、建设用地规划与现状图斑数据，综合分析得到本区城市建设用地现状涉及上位规划中生态图斑的基本情况，形成外业调查工作底图；其次，针对梳理出的各类“涉生态空间”数据，组织调查小组现场踏勘，确认本区生态廊道建设相关图斑现地情况，做好数据记录；最后，整合内业核查与外业调查资料，明确本区生态空间基本结构，并建立各类用地“涉生态空间”数据库。</w:t>
      </w:r>
    </w:p>
    <w:p>
      <w:pPr>
        <w:pStyle w:val="7"/>
        <w:spacing w:line="360" w:lineRule="auto"/>
        <w:ind w:firstLine="600"/>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3</w:t>
      </w:r>
      <w:r>
        <w:rPr>
          <w:rFonts w:hint="eastAsia" w:ascii="仿宋" w:hAnsi="仿宋" w:eastAsia="仿宋"/>
          <w:sz w:val="30"/>
          <w:szCs w:val="30"/>
        </w:rPr>
        <w:t>）问题分析，拟定发展对策</w:t>
      </w:r>
    </w:p>
    <w:p>
      <w:pPr>
        <w:pStyle w:val="7"/>
        <w:spacing w:line="360" w:lineRule="auto"/>
        <w:ind w:firstLine="600"/>
        <w:rPr>
          <w:rFonts w:hint="eastAsia" w:ascii="仿宋" w:hAnsi="仿宋" w:eastAsia="仿宋"/>
          <w:sz w:val="30"/>
          <w:szCs w:val="30"/>
        </w:rPr>
      </w:pPr>
      <w:r>
        <w:rPr>
          <w:rFonts w:hint="eastAsia" w:ascii="仿宋" w:hAnsi="仿宋" w:eastAsia="仿宋"/>
          <w:sz w:val="30"/>
          <w:szCs w:val="30"/>
        </w:rPr>
        <w:t>基于系统梳理成果，对龙岗区建设现状与上位规划、要求相冲突的“涉生态空间”用地图斑数量、面积、空间分布、建设现状、用地类型等内容进行总体分析，并结合对本区生态空间布局的初步判断，提出本区生态廊道建设工作下一步优化对策，为完善市级主要生态廊道与片区次级生态廊道具体线位，推进龙岗区生态廊道专项规划建设和生态修复工作，编制深圳市国土空间规划龙岗区分区规划提供现状数据支撑。</w:t>
      </w:r>
    </w:p>
    <w:p>
      <w:pPr>
        <w:pStyle w:val="7"/>
        <w:spacing w:line="360" w:lineRule="auto"/>
        <w:ind w:firstLine="600"/>
        <w:rPr>
          <w:rFonts w:ascii="仿宋" w:hAnsi="仿宋" w:eastAsia="仿宋"/>
          <w:sz w:val="30"/>
          <w:szCs w:val="30"/>
        </w:rPr>
      </w:pPr>
      <w:r>
        <w:rPr>
          <w:rFonts w:hint="eastAsia" w:ascii="仿宋" w:hAnsi="仿宋" w:eastAsia="仿宋"/>
          <w:sz w:val="30"/>
          <w:szCs w:val="30"/>
        </w:rPr>
        <w:t>（二）由中标供应商确定不少于6名工作人员服务于本项目，工作人员需包括资源环境与城乡规划、地理信息等相关专业人员，合同执行过程中，中标人不得随意更换项目负责人和项目组成员，并确保提供的人员信息有效。</w:t>
      </w:r>
    </w:p>
    <w:p>
      <w:pPr>
        <w:pStyle w:val="7"/>
        <w:spacing w:line="360" w:lineRule="auto"/>
        <w:ind w:firstLine="600"/>
        <w:rPr>
          <w:rFonts w:ascii="仿宋" w:hAnsi="仿宋" w:eastAsia="仿宋"/>
          <w:sz w:val="30"/>
          <w:szCs w:val="30"/>
        </w:rPr>
      </w:pPr>
      <w:r>
        <w:rPr>
          <w:rFonts w:hint="eastAsia" w:ascii="仿宋" w:hAnsi="仿宋" w:eastAsia="仿宋"/>
          <w:sz w:val="30"/>
          <w:szCs w:val="30"/>
        </w:rPr>
        <w:t>（三）供应商必须保守国家机密，不得泄漏采购方所提供的属国家秘密的信息和数据；未经采购方允许，不得使用或者以其它方式给任何第三方提供本项目的相关信息或数据。</w:t>
      </w:r>
    </w:p>
    <w:p>
      <w:pPr>
        <w:pStyle w:val="7"/>
        <w:spacing w:line="360" w:lineRule="auto"/>
        <w:ind w:firstLine="600"/>
        <w:rPr>
          <w:rFonts w:ascii="仿宋" w:hAnsi="仿宋" w:eastAsia="仿宋"/>
          <w:sz w:val="30"/>
          <w:szCs w:val="30"/>
        </w:rPr>
      </w:pPr>
      <w:r>
        <w:rPr>
          <w:rFonts w:hint="eastAsia" w:ascii="仿宋" w:hAnsi="仿宋" w:eastAsia="仿宋"/>
          <w:sz w:val="30"/>
          <w:szCs w:val="30"/>
        </w:rPr>
        <w:t>三、供应商资格要求</w:t>
      </w:r>
    </w:p>
    <w:p>
      <w:pPr>
        <w:pStyle w:val="7"/>
        <w:spacing w:line="360" w:lineRule="auto"/>
        <w:ind w:firstLine="600"/>
        <w:rPr>
          <w:rFonts w:ascii="仿宋" w:hAnsi="仿宋" w:eastAsia="仿宋"/>
          <w:sz w:val="30"/>
          <w:szCs w:val="30"/>
        </w:rPr>
      </w:pPr>
      <w:r>
        <w:rPr>
          <w:rFonts w:hint="eastAsia" w:ascii="仿宋" w:hAnsi="仿宋" w:eastAsia="仿宋"/>
          <w:sz w:val="30"/>
          <w:szCs w:val="30"/>
        </w:rPr>
        <w:t>（一）具有独立法人资格；</w:t>
      </w:r>
    </w:p>
    <w:p>
      <w:pPr>
        <w:pStyle w:val="7"/>
        <w:spacing w:line="360" w:lineRule="auto"/>
        <w:ind w:firstLine="600"/>
        <w:rPr>
          <w:rFonts w:ascii="仿宋" w:hAnsi="仿宋" w:eastAsia="仿宋"/>
          <w:sz w:val="30"/>
          <w:szCs w:val="30"/>
        </w:rPr>
      </w:pPr>
      <w:r>
        <w:rPr>
          <w:rFonts w:hint="eastAsia" w:ascii="仿宋" w:hAnsi="仿宋" w:eastAsia="仿宋"/>
          <w:sz w:val="30"/>
          <w:szCs w:val="30"/>
        </w:rPr>
        <w:t>（二）本项目不接受联合体投标，不允许分包；</w:t>
      </w:r>
    </w:p>
    <w:p>
      <w:pPr>
        <w:pStyle w:val="7"/>
        <w:spacing w:line="360" w:lineRule="auto"/>
        <w:ind w:firstLine="600"/>
        <w:rPr>
          <w:rFonts w:ascii="仿宋" w:hAnsi="仿宋" w:eastAsia="仿宋"/>
          <w:sz w:val="30"/>
          <w:szCs w:val="30"/>
        </w:rPr>
      </w:pPr>
      <w:r>
        <w:rPr>
          <w:rFonts w:hint="eastAsia" w:ascii="仿宋" w:hAnsi="仿宋" w:eastAsia="仿宋"/>
          <w:sz w:val="30"/>
          <w:szCs w:val="30"/>
        </w:rPr>
        <w:t>（三）具有国土空间规划和用地梳理经验相关工作经验。</w:t>
      </w:r>
    </w:p>
    <w:p>
      <w:pPr>
        <w:pStyle w:val="7"/>
        <w:spacing w:line="360" w:lineRule="auto"/>
        <w:ind w:firstLine="600"/>
        <w:rPr>
          <w:rFonts w:ascii="仿宋" w:hAnsi="仿宋" w:eastAsia="仿宋"/>
          <w:sz w:val="30"/>
          <w:szCs w:val="30"/>
        </w:rPr>
      </w:pPr>
      <w:r>
        <w:rPr>
          <w:rFonts w:hint="eastAsia" w:ascii="仿宋" w:hAnsi="仿宋" w:eastAsia="仿宋"/>
          <w:sz w:val="30"/>
          <w:szCs w:val="30"/>
        </w:rPr>
        <w:t>四、评标定标方法</w:t>
      </w:r>
    </w:p>
    <w:p>
      <w:pPr>
        <w:pStyle w:val="7"/>
        <w:spacing w:line="360" w:lineRule="auto"/>
        <w:ind w:firstLine="600"/>
        <w:rPr>
          <w:rFonts w:hint="eastAsia" w:ascii="仿宋" w:hAnsi="仿宋" w:eastAsia="仿宋"/>
          <w:sz w:val="30"/>
          <w:szCs w:val="30"/>
          <w:lang w:eastAsia="zh-CN"/>
        </w:rPr>
      </w:pPr>
      <w:r>
        <w:rPr>
          <w:rFonts w:hint="eastAsia" w:ascii="仿宋" w:hAnsi="仿宋" w:eastAsia="仿宋"/>
          <w:sz w:val="30"/>
          <w:szCs w:val="30"/>
        </w:rPr>
        <w:t>直接确定供应商</w:t>
      </w:r>
      <w:r>
        <w:rPr>
          <w:rFonts w:hint="eastAsia" w:ascii="仿宋" w:hAnsi="仿宋" w:eastAsia="仿宋"/>
          <w:sz w:val="30"/>
          <w:szCs w:val="30"/>
          <w:lang w:eastAsia="zh-CN"/>
        </w:rPr>
        <w:t>：深圳市龙岗区规划国土发展研究中心</w:t>
      </w:r>
    </w:p>
    <w:p>
      <w:pPr>
        <w:pStyle w:val="7"/>
        <w:spacing w:line="360" w:lineRule="auto"/>
        <w:ind w:firstLine="600"/>
        <w:rPr>
          <w:rFonts w:ascii="仿宋" w:hAnsi="仿宋" w:eastAsia="仿宋"/>
          <w:sz w:val="30"/>
          <w:szCs w:val="30"/>
        </w:rPr>
      </w:pPr>
      <w:r>
        <w:rPr>
          <w:rFonts w:hint="eastAsia" w:ascii="仿宋" w:hAnsi="仿宋" w:eastAsia="仿宋"/>
          <w:sz w:val="30"/>
          <w:szCs w:val="30"/>
        </w:rPr>
        <w:t>五、商务需求</w:t>
      </w:r>
    </w:p>
    <w:p>
      <w:pPr>
        <w:pStyle w:val="7"/>
        <w:spacing w:line="360" w:lineRule="auto"/>
        <w:ind w:firstLine="600"/>
        <w:rPr>
          <w:rFonts w:ascii="仿宋" w:hAnsi="仿宋" w:eastAsia="仿宋"/>
          <w:sz w:val="30"/>
          <w:szCs w:val="30"/>
        </w:rPr>
      </w:pPr>
      <w:r>
        <w:rPr>
          <w:rFonts w:hint="eastAsia" w:ascii="仿宋" w:hAnsi="仿宋" w:eastAsia="仿宋"/>
          <w:sz w:val="30"/>
          <w:szCs w:val="30"/>
        </w:rPr>
        <w:t>（一）服务期：本次项目合同期限自合同签订时间之日起至2021年1</w:t>
      </w:r>
      <w:r>
        <w:rPr>
          <w:rFonts w:hint="eastAsia" w:ascii="仿宋" w:hAnsi="仿宋" w:eastAsia="仿宋"/>
          <w:sz w:val="30"/>
          <w:szCs w:val="30"/>
          <w:lang w:val="en-US" w:eastAsia="zh-CN"/>
        </w:rPr>
        <w:t>1</w:t>
      </w:r>
      <w:r>
        <w:rPr>
          <w:rFonts w:hint="eastAsia" w:ascii="仿宋" w:hAnsi="仿宋" w:eastAsia="仿宋"/>
          <w:sz w:val="30"/>
          <w:szCs w:val="30"/>
        </w:rPr>
        <w:t>月30日。</w:t>
      </w:r>
    </w:p>
    <w:p>
      <w:pPr>
        <w:pStyle w:val="7"/>
        <w:spacing w:line="360" w:lineRule="auto"/>
        <w:ind w:firstLine="600"/>
        <w:rPr>
          <w:rFonts w:ascii="仿宋" w:hAnsi="仿宋" w:eastAsia="仿宋"/>
          <w:sz w:val="30"/>
          <w:szCs w:val="30"/>
        </w:rPr>
      </w:pPr>
      <w:r>
        <w:rPr>
          <w:rFonts w:hint="eastAsia" w:ascii="仿宋" w:hAnsi="仿宋" w:eastAsia="仿宋"/>
          <w:sz w:val="30"/>
          <w:szCs w:val="30"/>
        </w:rPr>
        <w:t>（二）服务地点：深圳市龙岗区。</w:t>
      </w:r>
    </w:p>
    <w:p>
      <w:pPr>
        <w:pStyle w:val="7"/>
        <w:spacing w:line="360" w:lineRule="auto"/>
        <w:ind w:firstLine="600"/>
        <w:rPr>
          <w:rFonts w:ascii="仿宋" w:hAnsi="仿宋" w:eastAsia="仿宋"/>
          <w:sz w:val="30"/>
          <w:szCs w:val="30"/>
        </w:rPr>
      </w:pPr>
      <w:r>
        <w:rPr>
          <w:rFonts w:hint="eastAsia" w:ascii="仿宋" w:hAnsi="仿宋" w:eastAsia="仿宋"/>
          <w:sz w:val="30"/>
          <w:szCs w:val="30"/>
        </w:rPr>
        <w:t>（三）报价要求：</w:t>
      </w:r>
    </w:p>
    <w:p>
      <w:pPr>
        <w:pStyle w:val="7"/>
        <w:spacing w:line="360" w:lineRule="auto"/>
        <w:ind w:firstLine="600"/>
        <w:rPr>
          <w:rFonts w:ascii="仿宋" w:hAnsi="仿宋" w:eastAsia="仿宋"/>
          <w:sz w:val="30"/>
          <w:szCs w:val="30"/>
        </w:rPr>
      </w:pPr>
      <w:r>
        <w:rPr>
          <w:rFonts w:hint="eastAsia" w:ascii="仿宋" w:hAnsi="仿宋" w:eastAsia="仿宋"/>
          <w:sz w:val="30"/>
          <w:szCs w:val="30"/>
        </w:rPr>
        <w:t>1.本项目投标报价应就成果文本印刷费、公开展示费、公众咨询组织费、与相关政府部门以及公共事业管理部门就本项目审查、审批、审计、备案和专业咨询等工作的协调联系时投标人所产生的费用。</w:t>
      </w:r>
    </w:p>
    <w:p>
      <w:pPr>
        <w:pStyle w:val="7"/>
        <w:spacing w:line="360" w:lineRule="auto"/>
        <w:ind w:firstLine="600"/>
        <w:rPr>
          <w:rFonts w:ascii="仿宋" w:hAnsi="仿宋" w:eastAsia="仿宋"/>
          <w:sz w:val="30"/>
          <w:szCs w:val="30"/>
        </w:rPr>
      </w:pPr>
      <w:r>
        <w:rPr>
          <w:rFonts w:hint="eastAsia" w:ascii="仿宋" w:hAnsi="仿宋" w:eastAsia="仿宋"/>
          <w:sz w:val="30"/>
          <w:szCs w:val="30"/>
        </w:rPr>
        <w:t>2．投标人应根据招标文件所提供的资料自行测算投标报价；一经中标，投标报价将作为中标单位与采购单位签订合同的中标金额，合同期限内不做调整；</w:t>
      </w:r>
    </w:p>
    <w:p>
      <w:pPr>
        <w:pStyle w:val="7"/>
        <w:spacing w:line="360" w:lineRule="auto"/>
        <w:ind w:firstLine="600"/>
        <w:rPr>
          <w:rFonts w:ascii="仿宋" w:hAnsi="仿宋" w:eastAsia="仿宋"/>
          <w:sz w:val="30"/>
          <w:szCs w:val="30"/>
        </w:rPr>
      </w:pPr>
      <w:r>
        <w:rPr>
          <w:rFonts w:hint="eastAsia" w:ascii="仿宋" w:hAnsi="仿宋" w:eastAsia="仿宋"/>
          <w:sz w:val="30"/>
          <w:szCs w:val="30"/>
        </w:rPr>
        <w:t>3．投标人应根据本企业的成本自行决定报价，但不得以低于其企业成本的报价投标；</w:t>
      </w:r>
    </w:p>
    <w:p>
      <w:pPr>
        <w:pStyle w:val="7"/>
        <w:spacing w:line="360" w:lineRule="auto"/>
        <w:ind w:firstLine="600"/>
        <w:rPr>
          <w:rFonts w:ascii="仿宋" w:hAnsi="仿宋" w:eastAsia="仿宋"/>
          <w:sz w:val="30"/>
          <w:szCs w:val="30"/>
        </w:rPr>
      </w:pPr>
      <w:r>
        <w:rPr>
          <w:rFonts w:hint="eastAsia" w:ascii="仿宋" w:hAnsi="仿宋" w:eastAsia="仿宋"/>
          <w:sz w:val="30"/>
          <w:szCs w:val="30"/>
        </w:rPr>
        <w:t>（四）付款方式：付款方式分</w:t>
      </w:r>
      <w:r>
        <w:rPr>
          <w:rFonts w:hint="eastAsia" w:ascii="仿宋" w:hAnsi="仿宋" w:eastAsia="仿宋"/>
          <w:sz w:val="30"/>
          <w:szCs w:val="30"/>
          <w:lang w:val="en-US" w:eastAsia="zh-CN"/>
        </w:rPr>
        <w:t>两</w:t>
      </w:r>
      <w:r>
        <w:rPr>
          <w:rFonts w:hint="eastAsia" w:ascii="仿宋" w:hAnsi="仿宋" w:eastAsia="仿宋"/>
          <w:sz w:val="30"/>
          <w:szCs w:val="30"/>
        </w:rPr>
        <w:t>期，首期款占总合同额的30%，于项目合同签订后10个工作日内由乙方提出付款申请后，甲方依据区财政年度安排资金开展付款工作；尾款占总合同额的</w:t>
      </w:r>
      <w:r>
        <w:rPr>
          <w:rFonts w:hint="eastAsia" w:ascii="仿宋" w:hAnsi="仿宋" w:eastAsia="仿宋"/>
          <w:sz w:val="30"/>
          <w:szCs w:val="30"/>
          <w:lang w:val="en-US" w:eastAsia="zh-CN"/>
        </w:rPr>
        <w:t>7</w:t>
      </w:r>
      <w:r>
        <w:rPr>
          <w:rFonts w:hint="eastAsia" w:ascii="仿宋" w:hAnsi="仿宋" w:eastAsia="仿宋"/>
          <w:sz w:val="30"/>
          <w:szCs w:val="30"/>
        </w:rPr>
        <w:t>0%，本项目将正式成果提交深圳市规划和自然资源局龙岗管理局业务会审议通过，并经主管科室验收归档后10个工作日内由乙方提出付款申请后，甲方依据区财政年度安排资金开展付款工作。</w:t>
      </w:r>
    </w:p>
    <w:p>
      <w:pPr>
        <w:pStyle w:val="7"/>
        <w:spacing w:line="360" w:lineRule="auto"/>
        <w:ind w:firstLine="600"/>
        <w:rPr>
          <w:rFonts w:ascii="仿宋" w:hAnsi="仿宋" w:eastAsia="仿宋"/>
          <w:sz w:val="30"/>
          <w:szCs w:val="30"/>
        </w:rPr>
      </w:pPr>
      <w:r>
        <w:rPr>
          <w:rFonts w:hint="eastAsia" w:ascii="仿宋" w:hAnsi="仿宋" w:eastAsia="仿宋"/>
          <w:sz w:val="30"/>
          <w:szCs w:val="30"/>
        </w:rPr>
        <w:t>（五）违约责任：</w:t>
      </w:r>
    </w:p>
    <w:p>
      <w:pPr>
        <w:pStyle w:val="7"/>
        <w:spacing w:line="360" w:lineRule="auto"/>
        <w:ind w:firstLine="600"/>
        <w:rPr>
          <w:rFonts w:ascii="仿宋" w:hAnsi="仿宋" w:eastAsia="仿宋"/>
          <w:sz w:val="30"/>
          <w:szCs w:val="30"/>
        </w:rPr>
      </w:pPr>
      <w:r>
        <w:rPr>
          <w:rFonts w:hint="eastAsia" w:ascii="仿宋" w:hAnsi="仿宋" w:eastAsia="仿宋"/>
          <w:sz w:val="30"/>
          <w:szCs w:val="30"/>
        </w:rPr>
        <w:t xml:space="preserve">（1）甲方变更委托项目内容、规模、条件，或对所提供资料作较大修改时，应于确定修改之日起5个工作日内书面告知乙方。因以上原因造成乙方返工，工作量按合同规定的计费标准计算，未超过合同总价款的30%时，甲方应按乙方返工所耗工作量向乙方支付返工费；达到或超过合同总价款的30%时，双方应协商签订补充协议或另行签订合同，重新明确有关条款。 </w:t>
      </w:r>
    </w:p>
    <w:p>
      <w:pPr>
        <w:pStyle w:val="7"/>
        <w:spacing w:line="360" w:lineRule="auto"/>
        <w:ind w:firstLine="600"/>
        <w:rPr>
          <w:rFonts w:ascii="仿宋" w:hAnsi="仿宋" w:eastAsia="仿宋"/>
          <w:sz w:val="30"/>
          <w:szCs w:val="30"/>
        </w:rPr>
      </w:pPr>
      <w:r>
        <w:rPr>
          <w:rFonts w:hint="eastAsia" w:ascii="仿宋" w:hAnsi="仿宋" w:eastAsia="仿宋"/>
          <w:sz w:val="30"/>
          <w:szCs w:val="30"/>
        </w:rPr>
        <w:t>（2）甲方未按合同约定，延迟支付合同价款的，乙方有权要求甲方支付该阶段合同价款每日0.5‰的逾期违约金，逾期违约金总额不超过合同总价款的10%，且乙方提交成果的时间顺延。逾期超过5个工作日（含5个工作日）以上时，乙方有权暂停履行下阶段工作，并书面通知甲方。因政府内部工作导致甲方迟延付款的，不视为甲方违约。</w:t>
      </w:r>
    </w:p>
    <w:p>
      <w:pPr>
        <w:pStyle w:val="7"/>
        <w:spacing w:line="360" w:lineRule="auto"/>
        <w:ind w:firstLine="600"/>
        <w:rPr>
          <w:rFonts w:ascii="仿宋" w:hAnsi="仿宋" w:eastAsia="仿宋"/>
          <w:sz w:val="30"/>
          <w:szCs w:val="30"/>
        </w:rPr>
      </w:pPr>
      <w:r>
        <w:rPr>
          <w:rFonts w:hint="eastAsia" w:ascii="仿宋" w:hAnsi="仿宋" w:eastAsia="仿宋"/>
          <w:sz w:val="30"/>
          <w:szCs w:val="30"/>
        </w:rPr>
        <w:t>（3）未经甲方许可，乙方将本合同项目与第三方合作，或将本合同标的全部或部分擅自转包给第三方的，甲方有权要求乙方终止与第三方的合同。乙方并承担因此而产生的相关责任。</w:t>
      </w:r>
    </w:p>
    <w:p>
      <w:pPr>
        <w:pStyle w:val="7"/>
        <w:spacing w:line="360" w:lineRule="auto"/>
        <w:ind w:firstLine="600"/>
        <w:rPr>
          <w:rFonts w:ascii="仿宋" w:hAnsi="仿宋" w:eastAsia="仿宋"/>
          <w:sz w:val="30"/>
          <w:szCs w:val="30"/>
        </w:rPr>
      </w:pPr>
      <w:r>
        <w:rPr>
          <w:rFonts w:hint="eastAsia" w:ascii="仿宋" w:hAnsi="仿宋" w:eastAsia="仿宋"/>
          <w:sz w:val="30"/>
          <w:szCs w:val="30"/>
        </w:rPr>
        <w:t>（4）由于乙方工作的错误或遗漏造成本项目成果质量损失的，乙方除负责及时采取有效补救措施外，应免收受损失部分的合同价款，并支付合同总价款20%的违约金。</w:t>
      </w:r>
    </w:p>
    <w:p>
      <w:pPr>
        <w:pStyle w:val="7"/>
        <w:spacing w:line="360" w:lineRule="auto"/>
        <w:ind w:firstLine="600"/>
        <w:rPr>
          <w:rFonts w:ascii="仿宋" w:hAnsi="仿宋" w:eastAsia="仿宋"/>
          <w:sz w:val="30"/>
          <w:szCs w:val="30"/>
        </w:rPr>
      </w:pPr>
      <w:r>
        <w:rPr>
          <w:rFonts w:hint="eastAsia" w:ascii="仿宋" w:hAnsi="仿宋" w:eastAsia="仿宋"/>
          <w:sz w:val="30"/>
          <w:szCs w:val="30"/>
        </w:rPr>
        <w:t>（5）乙方未按擅自修改已经提交验收的成果文件的，应承担因此产生的一切后果，并赔偿甲方合同总价款20%的违约金。</w:t>
      </w:r>
    </w:p>
    <w:p>
      <w:pPr>
        <w:pStyle w:val="7"/>
        <w:spacing w:line="360" w:lineRule="auto"/>
        <w:ind w:firstLine="600"/>
        <w:rPr>
          <w:rFonts w:ascii="仿宋" w:hAnsi="仿宋" w:eastAsia="仿宋"/>
          <w:sz w:val="30"/>
          <w:szCs w:val="30"/>
        </w:rPr>
      </w:pPr>
      <w:r>
        <w:rPr>
          <w:rFonts w:hint="eastAsia" w:ascii="仿宋" w:hAnsi="仿宋" w:eastAsia="仿宋"/>
          <w:sz w:val="30"/>
          <w:szCs w:val="30"/>
        </w:rPr>
        <w:t>（6）合同履行期间，乙方未能按合同约定的日期(含协商延缓的日期)提交成果的，甲方有权要求乙方支付该阶段合同价款每日5‰的逾期违约金，逾期违约金总额不超过合同总价款的5%。</w:t>
      </w:r>
    </w:p>
    <w:p>
      <w:pPr>
        <w:pStyle w:val="7"/>
        <w:spacing w:line="360" w:lineRule="auto"/>
        <w:ind w:firstLine="600"/>
        <w:rPr>
          <w:rFonts w:ascii="仿宋" w:hAnsi="仿宋" w:eastAsia="仿宋"/>
          <w:sz w:val="30"/>
          <w:szCs w:val="30"/>
        </w:rPr>
      </w:pPr>
      <w:r>
        <w:rPr>
          <w:rFonts w:hint="eastAsia" w:ascii="仿宋" w:hAnsi="仿宋" w:eastAsia="仿宋"/>
          <w:sz w:val="30"/>
          <w:szCs w:val="30"/>
        </w:rPr>
        <w:t>（7）未经甲方同意，乙方擅自变更约定的项目组主要成员，甲方有权责成乙方采取补救措施或调整项目组主要成员构成。</w:t>
      </w:r>
    </w:p>
    <w:p>
      <w:pPr>
        <w:pStyle w:val="7"/>
        <w:spacing w:line="360" w:lineRule="auto"/>
        <w:ind w:firstLine="600"/>
        <w:rPr>
          <w:rFonts w:ascii="仿宋" w:hAnsi="仿宋" w:eastAsia="仿宋"/>
          <w:sz w:val="30"/>
          <w:szCs w:val="30"/>
        </w:rPr>
      </w:pPr>
      <w:r>
        <w:rPr>
          <w:rFonts w:hint="eastAsia" w:ascii="仿宋" w:hAnsi="仿宋" w:eastAsia="仿宋"/>
          <w:sz w:val="30"/>
          <w:szCs w:val="30"/>
        </w:rPr>
        <w:t>（8）项目最终成果验收后1年以内，乙方未按甲方要求就本项目提供必要解释和接受咨询的，甲方可要求乙方返还合同总价款20%的费用。</w:t>
      </w:r>
    </w:p>
    <w:p>
      <w:pPr>
        <w:pStyle w:val="7"/>
        <w:spacing w:line="360" w:lineRule="auto"/>
        <w:ind w:firstLine="600"/>
        <w:rPr>
          <w:rFonts w:ascii="仿宋" w:hAnsi="仿宋" w:eastAsia="仿宋"/>
          <w:sz w:val="30"/>
          <w:szCs w:val="30"/>
        </w:rPr>
      </w:pPr>
      <w:r>
        <w:rPr>
          <w:rFonts w:hint="eastAsia" w:ascii="仿宋" w:hAnsi="仿宋" w:eastAsia="仿宋"/>
          <w:sz w:val="30"/>
          <w:szCs w:val="30"/>
        </w:rPr>
        <w:t>（六）其他：</w:t>
      </w:r>
    </w:p>
    <w:p>
      <w:pPr>
        <w:pStyle w:val="7"/>
        <w:spacing w:line="360" w:lineRule="auto"/>
        <w:ind w:firstLine="600"/>
        <w:rPr>
          <w:rFonts w:ascii="仿宋" w:hAnsi="仿宋" w:eastAsia="仿宋"/>
          <w:sz w:val="30"/>
          <w:szCs w:val="30"/>
        </w:rPr>
      </w:pPr>
      <w:r>
        <w:rPr>
          <w:rFonts w:hint="eastAsia" w:ascii="仿宋" w:hAnsi="仿宋" w:eastAsia="仿宋"/>
          <w:sz w:val="30"/>
          <w:szCs w:val="30"/>
        </w:rPr>
        <w:t>中标供应商须签署《政府采购投标及履约承诺函》。</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7416603"/>
      <w:docPartObj>
        <w:docPartGallery w:val="autotext"/>
      </w:docPartObj>
    </w:sdtPr>
    <w:sdtContent>
      <w:p>
        <w:pPr>
          <w:pStyle w:val="3"/>
          <w:jc w:val="center"/>
        </w:pPr>
        <w:r>
          <w:fldChar w:fldCharType="begin"/>
        </w:r>
        <w:r>
          <w:instrText xml:space="preserve">PAGE   \* MERGEFORMAT</w:instrText>
        </w:r>
        <w:r>
          <w:fldChar w:fldCharType="separate"/>
        </w:r>
        <w:r>
          <w:rPr>
            <w:lang w:val="zh-CN"/>
          </w:rPr>
          <w:t>3</w:t>
        </w:r>
        <w:r>
          <w:fldChar w:fldCharType="end"/>
        </w:r>
      </w:p>
    </w:sdtContent>
  </w:sdt>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kMWMyOGEwM2RjMzJkNjdkYTQxM2RhZjczMjdjZTgifQ=="/>
  </w:docVars>
  <w:rsids>
    <w:rsidRoot w:val="41916E14"/>
    <w:rsid w:val="00045DF9"/>
    <w:rsid w:val="002D21CE"/>
    <w:rsid w:val="008E7A01"/>
    <w:rsid w:val="00933232"/>
    <w:rsid w:val="01BC2EAB"/>
    <w:rsid w:val="020F05B1"/>
    <w:rsid w:val="03E525C1"/>
    <w:rsid w:val="05D57FAE"/>
    <w:rsid w:val="0701437E"/>
    <w:rsid w:val="072C6648"/>
    <w:rsid w:val="072D23AA"/>
    <w:rsid w:val="07AB26C8"/>
    <w:rsid w:val="08245328"/>
    <w:rsid w:val="09467420"/>
    <w:rsid w:val="09C638CF"/>
    <w:rsid w:val="0B043B1E"/>
    <w:rsid w:val="0B6259CB"/>
    <w:rsid w:val="0B9B3860"/>
    <w:rsid w:val="0C0A57B1"/>
    <w:rsid w:val="0C4C4A66"/>
    <w:rsid w:val="0D082BA8"/>
    <w:rsid w:val="0DB77282"/>
    <w:rsid w:val="0DE67A17"/>
    <w:rsid w:val="108C5E75"/>
    <w:rsid w:val="11121F07"/>
    <w:rsid w:val="11E36E57"/>
    <w:rsid w:val="123B4F3B"/>
    <w:rsid w:val="13680956"/>
    <w:rsid w:val="13B851FE"/>
    <w:rsid w:val="14EF2A5D"/>
    <w:rsid w:val="14F343B8"/>
    <w:rsid w:val="15CB0B50"/>
    <w:rsid w:val="184720EB"/>
    <w:rsid w:val="190D0521"/>
    <w:rsid w:val="1AB52A90"/>
    <w:rsid w:val="1BFA5554"/>
    <w:rsid w:val="1C29185B"/>
    <w:rsid w:val="1D314DA2"/>
    <w:rsid w:val="21463E43"/>
    <w:rsid w:val="22290460"/>
    <w:rsid w:val="227A00D5"/>
    <w:rsid w:val="23442184"/>
    <w:rsid w:val="23454782"/>
    <w:rsid w:val="23AB4324"/>
    <w:rsid w:val="251D19C5"/>
    <w:rsid w:val="25CD6DE3"/>
    <w:rsid w:val="26096497"/>
    <w:rsid w:val="26660F1F"/>
    <w:rsid w:val="269E7854"/>
    <w:rsid w:val="27C61AF0"/>
    <w:rsid w:val="294C0EA5"/>
    <w:rsid w:val="295A29DF"/>
    <w:rsid w:val="29722D5F"/>
    <w:rsid w:val="29BF7F78"/>
    <w:rsid w:val="29CB6BDB"/>
    <w:rsid w:val="29D20AF5"/>
    <w:rsid w:val="2D077A2A"/>
    <w:rsid w:val="2E014AB9"/>
    <w:rsid w:val="2EA70FB4"/>
    <w:rsid w:val="30B56F7A"/>
    <w:rsid w:val="30B6498D"/>
    <w:rsid w:val="3208627A"/>
    <w:rsid w:val="32674C29"/>
    <w:rsid w:val="32E22B9E"/>
    <w:rsid w:val="3325351C"/>
    <w:rsid w:val="33AE5CAA"/>
    <w:rsid w:val="33F42B99"/>
    <w:rsid w:val="3431648F"/>
    <w:rsid w:val="3458106E"/>
    <w:rsid w:val="36F54868"/>
    <w:rsid w:val="3A860432"/>
    <w:rsid w:val="3A9F155E"/>
    <w:rsid w:val="3B6B4AA0"/>
    <w:rsid w:val="3BB33CAC"/>
    <w:rsid w:val="3CF50E43"/>
    <w:rsid w:val="3E8A0151"/>
    <w:rsid w:val="3EAB4E92"/>
    <w:rsid w:val="3ED92322"/>
    <w:rsid w:val="3F5266A1"/>
    <w:rsid w:val="40754497"/>
    <w:rsid w:val="4086167D"/>
    <w:rsid w:val="41431D1C"/>
    <w:rsid w:val="41916E14"/>
    <w:rsid w:val="41D34FCC"/>
    <w:rsid w:val="425B0DD0"/>
    <w:rsid w:val="43061255"/>
    <w:rsid w:val="43776556"/>
    <w:rsid w:val="43B9308A"/>
    <w:rsid w:val="43FB45B3"/>
    <w:rsid w:val="445F22B5"/>
    <w:rsid w:val="45247423"/>
    <w:rsid w:val="456302AA"/>
    <w:rsid w:val="463459B1"/>
    <w:rsid w:val="46E54F25"/>
    <w:rsid w:val="47245E18"/>
    <w:rsid w:val="479F738B"/>
    <w:rsid w:val="4B12710C"/>
    <w:rsid w:val="4B824696"/>
    <w:rsid w:val="4C3E50E0"/>
    <w:rsid w:val="4D5F4B46"/>
    <w:rsid w:val="502533D7"/>
    <w:rsid w:val="51A35FB5"/>
    <w:rsid w:val="51B37DB2"/>
    <w:rsid w:val="520A1314"/>
    <w:rsid w:val="53C670AD"/>
    <w:rsid w:val="54025A1D"/>
    <w:rsid w:val="54CC5657"/>
    <w:rsid w:val="56D04DF7"/>
    <w:rsid w:val="57C140C9"/>
    <w:rsid w:val="5867796D"/>
    <w:rsid w:val="5960026B"/>
    <w:rsid w:val="598668BA"/>
    <w:rsid w:val="5A4053A5"/>
    <w:rsid w:val="5A54303F"/>
    <w:rsid w:val="5B12617D"/>
    <w:rsid w:val="5D9D0957"/>
    <w:rsid w:val="61BD7388"/>
    <w:rsid w:val="61F72139"/>
    <w:rsid w:val="639C4DCD"/>
    <w:rsid w:val="63DF397C"/>
    <w:rsid w:val="655D5146"/>
    <w:rsid w:val="665C738A"/>
    <w:rsid w:val="66917FD9"/>
    <w:rsid w:val="6695232D"/>
    <w:rsid w:val="670A41EA"/>
    <w:rsid w:val="68B36EE4"/>
    <w:rsid w:val="69CF599A"/>
    <w:rsid w:val="6B465684"/>
    <w:rsid w:val="6BC11B2A"/>
    <w:rsid w:val="6BD23FD1"/>
    <w:rsid w:val="6E904A2C"/>
    <w:rsid w:val="6ED52DB7"/>
    <w:rsid w:val="71711E5D"/>
    <w:rsid w:val="72443946"/>
    <w:rsid w:val="7311248F"/>
    <w:rsid w:val="73F71C03"/>
    <w:rsid w:val="756B6FEE"/>
    <w:rsid w:val="757B29CB"/>
    <w:rsid w:val="77F543DA"/>
    <w:rsid w:val="79966B1A"/>
    <w:rsid w:val="7B1C0575"/>
    <w:rsid w:val="7B582582"/>
    <w:rsid w:val="7CC510F0"/>
    <w:rsid w:val="7CDA68F0"/>
    <w:rsid w:val="7D232C56"/>
    <w:rsid w:val="7D713096"/>
    <w:rsid w:val="7D790385"/>
    <w:rsid w:val="7DC90ECE"/>
    <w:rsid w:val="7E342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pPr>
      <w:spacing w:line="240" w:lineRule="auto"/>
    </w:pPr>
    <w:rPr>
      <w:sz w:val="18"/>
      <w:szCs w:val="18"/>
    </w:rPr>
  </w:style>
  <w:style w:type="paragraph" w:styleId="3">
    <w:name w:val="footer"/>
    <w:basedOn w:val="1"/>
    <w:link w:val="9"/>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customStyle="1" w:styleId="7">
    <w:name w:val="列出段落1"/>
    <w:basedOn w:val="1"/>
    <w:qFormat/>
    <w:uiPriority w:val="34"/>
    <w:pPr>
      <w:ind w:firstLine="420" w:firstLineChars="200"/>
    </w:pPr>
  </w:style>
  <w:style w:type="character" w:customStyle="1" w:styleId="8">
    <w:name w:val="页眉 字符"/>
    <w:basedOn w:val="6"/>
    <w:link w:val="4"/>
    <w:qFormat/>
    <w:uiPriority w:val="0"/>
    <w:rPr>
      <w:rFonts w:ascii="Times New Roman" w:hAnsi="Times New Roman" w:eastAsia="Times New Roman" w:cs="Times New Roman"/>
      <w:kern w:val="2"/>
      <w:sz w:val="18"/>
      <w:szCs w:val="18"/>
    </w:rPr>
  </w:style>
  <w:style w:type="character" w:customStyle="1" w:styleId="9">
    <w:name w:val="页脚 字符"/>
    <w:basedOn w:val="6"/>
    <w:link w:val="3"/>
    <w:qFormat/>
    <w:uiPriority w:val="99"/>
    <w:rPr>
      <w:rFonts w:ascii="Times New Roman" w:hAnsi="Times New Roman" w:eastAsia="Times New Roman" w:cs="Times New Roman"/>
      <w:kern w:val="2"/>
      <w:sz w:val="18"/>
      <w:szCs w:val="18"/>
    </w:rPr>
  </w:style>
  <w:style w:type="character" w:customStyle="1" w:styleId="10">
    <w:name w:val="批注框文本 字符"/>
    <w:basedOn w:val="6"/>
    <w:link w:val="2"/>
    <w:qFormat/>
    <w:uiPriority w:val="0"/>
    <w:rPr>
      <w:rFonts w:ascii="Times New Roman" w:hAnsi="Times New Roman" w:eastAsia="Times New Roman"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3280</Words>
  <Characters>3334</Characters>
  <Lines>23</Lines>
  <Paragraphs>6</Paragraphs>
  <TotalTime>9</TotalTime>
  <ScaleCrop>false</ScaleCrop>
  <LinksUpToDate>false</LinksUpToDate>
  <CharactersWithSpaces>3335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2021-02-09T01:22:00Z</dcterms:created>
  <dc:creator>邹丹</dc:creator>
  <cp:lastModifiedBy>大大的微笑</cp:lastModifiedBy>
  <cp:lastPrinted>2021-03-08T03:42:00Z</cp:lastPrinted>
  <dcterms:modified xsi:type="dcterms:W3CDTF">2023-05-04T10:04:16Z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6940498685D447E0AE89655AEE3189E4_12</vt:lpwstr>
  </property>
</Properties>
</file>