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2"/>
          <w:szCs w:val="32"/>
        </w:rPr>
      </w:pPr>
      <w:r>
        <w:rPr>
          <w:rFonts w:hint="eastAsia" w:ascii="宋体" w:hAnsi="宋体"/>
          <w:b/>
          <w:sz w:val="32"/>
          <w:szCs w:val="32"/>
        </w:rPr>
        <w:t>附件2</w:t>
      </w:r>
    </w:p>
    <w:p>
      <w:pPr>
        <w:jc w:val="center"/>
        <w:rPr>
          <w:rFonts w:ascii="宋体" w:hAnsi="宋体"/>
          <w:b/>
          <w:sz w:val="44"/>
          <w:szCs w:val="44"/>
        </w:rPr>
      </w:pPr>
      <w:r>
        <w:rPr>
          <w:rFonts w:hint="eastAsia" w:ascii="宋体" w:hAnsi="宋体"/>
          <w:b/>
          <w:sz w:val="32"/>
          <w:szCs w:val="32"/>
        </w:rPr>
        <w:t>关于印发中小企业划型标准规定的通知</w:t>
      </w:r>
    </w:p>
    <w:p>
      <w:pPr>
        <w:jc w:val="center"/>
        <w:rPr>
          <w:rFonts w:ascii="宋体" w:hAnsi="宋体"/>
          <w:sz w:val="24"/>
        </w:rPr>
      </w:pPr>
      <w:r>
        <w:rPr>
          <w:rFonts w:hint="eastAsia" w:ascii="宋体" w:hAnsi="宋体"/>
          <w:sz w:val="24"/>
        </w:rPr>
        <w:t>工信部联企业[2011]300号</w:t>
      </w:r>
    </w:p>
    <w:p>
      <w:pPr>
        <w:jc w:val="center"/>
        <w:rPr>
          <w:rFonts w:ascii="宋体" w:hAnsi="宋体"/>
          <w:sz w:val="28"/>
          <w:szCs w:val="28"/>
        </w:rPr>
      </w:pPr>
    </w:p>
    <w:p>
      <w:pPr>
        <w:widowControl/>
        <w:wordWrap w:val="0"/>
        <w:snapToGrid w:val="0"/>
        <w:jc w:val="left"/>
        <w:rPr>
          <w:rFonts w:ascii="仿宋_GB2312" w:hAnsi="Calibri" w:eastAsia="仿宋_GB2312"/>
          <w:sz w:val="28"/>
          <w:szCs w:val="28"/>
        </w:rPr>
      </w:pPr>
      <w:r>
        <w:rPr>
          <w:rFonts w:hint="eastAsia" w:ascii="仿宋_GB2312" w:hAnsi="Calibri" w:eastAsia="仿宋_GB2312"/>
          <w:sz w:val="28"/>
          <w:szCs w:val="28"/>
        </w:rPr>
        <w:t>各省、自治区、直辖市人民政府，国务院各部委、各直属机构及有关单位：</w:t>
      </w:r>
    </w:p>
    <w:p>
      <w:pPr>
        <w:widowControl/>
        <w:wordWrap w:val="0"/>
        <w:snapToGrid w:val="0"/>
        <w:jc w:val="left"/>
        <w:rPr>
          <w:rFonts w:ascii="仿宋_GB2312" w:hAnsi="Calibri" w:eastAsia="仿宋_GB2312"/>
          <w:sz w:val="28"/>
          <w:szCs w:val="28"/>
        </w:rPr>
      </w:pPr>
      <w:r>
        <w:rPr>
          <w:rFonts w:hint="eastAsia" w:ascii="仿宋_GB2312" w:hAnsi="Calibri" w:eastAsia="仿宋_GB2312"/>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wordWrap w:val="0"/>
        <w:snapToGrid w:val="0"/>
        <w:spacing w:before="100" w:beforeAutospacing="1" w:after="100" w:afterAutospacing="1"/>
        <w:jc w:val="left"/>
        <w:rPr>
          <w:rFonts w:ascii="仿宋_GB2312" w:hAnsi="Calibri" w:eastAsia="仿宋_GB2312"/>
          <w:sz w:val="28"/>
          <w:szCs w:val="28"/>
        </w:rPr>
      </w:pPr>
      <w:r>
        <w:rPr>
          <w:rFonts w:hint="eastAsia" w:ascii="仿宋_GB2312" w:hAnsi="Calibri" w:eastAsia="仿宋_GB2312"/>
          <w:sz w:val="28"/>
          <w:szCs w:val="28"/>
        </w:rPr>
        <w:t>　　                     工业和信息化部  国家统计局</w:t>
      </w:r>
    </w:p>
    <w:p>
      <w:pPr>
        <w:widowControl/>
        <w:wordWrap w:val="0"/>
        <w:snapToGrid w:val="0"/>
        <w:spacing w:before="100" w:beforeAutospacing="1" w:after="100" w:afterAutospacing="1"/>
        <w:ind w:firstLine="3500" w:firstLineChars="1250"/>
        <w:jc w:val="left"/>
        <w:rPr>
          <w:rFonts w:ascii="仿宋_GB2312" w:hAnsi="Calibri" w:eastAsia="仿宋_GB2312"/>
          <w:sz w:val="28"/>
          <w:szCs w:val="28"/>
        </w:rPr>
      </w:pPr>
      <w:r>
        <w:rPr>
          <w:rFonts w:hint="eastAsia" w:ascii="仿宋_GB2312" w:hAnsi="Calibri" w:eastAsia="仿宋_GB2312"/>
          <w:sz w:val="28"/>
          <w:szCs w:val="28"/>
        </w:rPr>
        <w:t>国家发展和改革委员会     财政部</w:t>
      </w:r>
    </w:p>
    <w:p>
      <w:pPr>
        <w:widowControl/>
        <w:wordWrap w:val="0"/>
        <w:snapToGrid w:val="0"/>
        <w:spacing w:before="100" w:beforeAutospacing="1" w:after="100" w:afterAutospacing="1"/>
        <w:jc w:val="right"/>
        <w:rPr>
          <w:rFonts w:ascii="仿宋_GB2312" w:hAnsi="Calibri" w:eastAsia="仿宋_GB2312"/>
          <w:sz w:val="28"/>
          <w:szCs w:val="28"/>
        </w:rPr>
      </w:pPr>
      <w:r>
        <w:rPr>
          <w:rFonts w:hint="eastAsia" w:ascii="仿宋_GB2312" w:hAnsi="Calibri" w:eastAsia="仿宋_GB2312"/>
          <w:sz w:val="28"/>
          <w:szCs w:val="28"/>
        </w:rPr>
        <w:t>　　                                                            二○一一年六月十八日</w:t>
      </w:r>
    </w:p>
    <w:p>
      <w:pPr>
        <w:widowControl/>
        <w:wordWrap w:val="0"/>
        <w:snapToGrid w:val="0"/>
        <w:spacing w:before="100" w:beforeAutospacing="1" w:after="100" w:afterAutospacing="1"/>
        <w:jc w:val="right"/>
        <w:rPr>
          <w:rFonts w:ascii="仿宋_GB2312" w:hAnsi="宋体" w:eastAsia="仿宋_GB2312" w:cs="宋体"/>
          <w:color w:val="333333"/>
          <w:kern w:val="0"/>
          <w:sz w:val="28"/>
          <w:szCs w:val="28"/>
        </w:rPr>
      </w:pPr>
      <w:r>
        <w:rPr>
          <w:rFonts w:hint="eastAsia" w:ascii="仿宋_GB2312" w:hAnsi="Calibri" w:eastAsia="仿宋_GB2312"/>
          <w:sz w:val="28"/>
          <w:szCs w:val="28"/>
        </w:rPr>
        <w:t>               </w:t>
      </w:r>
      <w:r>
        <w:rPr>
          <w:rFonts w:hint="eastAsia" w:ascii="仿宋_GB2312" w:hAnsi="宋体" w:eastAsia="仿宋_GB2312" w:cs="宋体"/>
          <w:color w:val="333333"/>
          <w:kern w:val="0"/>
          <w:sz w:val="28"/>
          <w:szCs w:val="28"/>
        </w:rPr>
        <w:t> </w:t>
      </w:r>
    </w:p>
    <w:p>
      <w:pPr>
        <w:spacing w:line="560" w:lineRule="exact"/>
        <w:jc w:val="center"/>
        <w:rPr>
          <w:rFonts w:ascii="宋体" w:hAnsi="宋体"/>
          <w:b/>
          <w:sz w:val="28"/>
          <w:szCs w:val="28"/>
        </w:rPr>
      </w:pPr>
      <w:r>
        <w:rPr>
          <w:rFonts w:hint="eastAsia" w:ascii="宋体" w:hAnsi="宋体"/>
          <w:b/>
          <w:sz w:val="28"/>
          <w:szCs w:val="28"/>
        </w:rPr>
        <w:t>中小企业划型标准规定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一、根据《中华人民共和国中小企业促进法》和《国务院关于进一步促进中小企业发展的若干意见》(国发[2009]36号)，制定本规定。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二、中小企业划分为中型、小型、微型三种类型，具体标准根据企业从业人员、营业收入、资产总额等指标，结合行业特点制定。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四、各行业划型标准为：</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（一）农、林、牧、渔业。营业收入20000万元以下的为中小微型企业。其中，营业收入500万元及以上的为中型企业，营业收入50万元及以上的为小型企业，营业收入50万元以下的为微型企业。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（十六）其他未列明行业。从业人员300人以下的为中小微型企业。其中，从业人员100人及以上的为中型企业；从业人员10人及以上的为小型企业；从业人员10人以下的为微型企业。</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五、企业类型的划分以统计部门的统计数据为依据。</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六、本规定适用于在中华人民共和国境内依法设立的各类所有制和各种组织形式的企业。个体工商户和本规定以外的行业，参照本规定进行划型。</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八、本规定由工业和信息化部、国家统计局会同有关部门根据《国民经济行业分类》修订情况和企业发展变化情况适时修订。</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九、本规定由工业和信息化部、国家统计局会同有关部门负责解释。</w:t>
      </w:r>
    </w:p>
    <w:p>
      <w:pPr>
        <w:widowControl/>
        <w:snapToGrid w:val="0"/>
        <w:spacing w:line="56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十、本规定自发布之日起执行，原国家经贸委、原国家计委、财政部和国家统计局2003年颁布的《中小企业标准暂行规定》同时废止。</w:t>
      </w:r>
    </w:p>
    <w:p>
      <w:pPr>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34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2021-01-22T03:24:28Z</dcterms:created>
  <dc:creator>Administrator</dc:creator>
  <cp:lastModifiedBy>null</cp:lastModifiedBy>
  <dcterms:modified xsi:type="dcterms:W3CDTF">2021-01-22T03:24:34Z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