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75" w:rsidRDefault="00E35C75">
      <w:pPr>
        <w:jc w:val="center"/>
        <w:rPr>
          <w:rFonts w:ascii="仿宋" w:eastAsia="仿宋" w:hAnsi="仿宋" w:cs="Times New Roman"/>
          <w:b/>
          <w:sz w:val="36"/>
          <w:szCs w:val="36"/>
        </w:rPr>
      </w:pPr>
    </w:p>
    <w:p w:rsidR="00E35C75" w:rsidRDefault="003A0821">
      <w:pPr>
        <w:jc w:val="center"/>
        <w:rPr>
          <w:rFonts w:ascii="仿宋" w:eastAsia="仿宋" w:hAnsi="仿宋" w:cs="Times New Roman"/>
          <w:b/>
          <w:sz w:val="36"/>
          <w:szCs w:val="36"/>
        </w:rPr>
      </w:pPr>
      <w:r>
        <w:rPr>
          <w:rFonts w:ascii="仿宋" w:eastAsia="仿宋" w:hAnsi="仿宋" w:cs="Times New Roman" w:hint="eastAsia"/>
          <w:b/>
          <w:sz w:val="36"/>
          <w:szCs w:val="36"/>
        </w:rPr>
        <w:t>《深圳市土地整备利益统筹办法》起草说明</w:t>
      </w:r>
    </w:p>
    <w:p w:rsidR="00E35C75" w:rsidRDefault="003A0821">
      <w:pPr>
        <w:jc w:val="center"/>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2022</w:t>
      </w:r>
      <w:r>
        <w:rPr>
          <w:rFonts w:ascii="仿宋" w:eastAsia="仿宋" w:hAnsi="仿宋" w:cs="Times New Roman"/>
          <w:sz w:val="32"/>
          <w:szCs w:val="32"/>
        </w:rPr>
        <w:t>年</w:t>
      </w:r>
      <w:r>
        <w:rPr>
          <w:rFonts w:ascii="仿宋" w:eastAsia="仿宋" w:hAnsi="仿宋" w:cs="Times New Roman"/>
          <w:sz w:val="32"/>
          <w:szCs w:val="32"/>
        </w:rPr>
        <w:t>3</w:t>
      </w:r>
      <w:r>
        <w:rPr>
          <w:rFonts w:ascii="仿宋" w:eastAsia="仿宋" w:hAnsi="仿宋" w:cs="Times New Roman"/>
          <w:sz w:val="32"/>
          <w:szCs w:val="32"/>
        </w:rPr>
        <w:t>月</w:t>
      </w:r>
      <w:r>
        <w:rPr>
          <w:rFonts w:ascii="仿宋" w:eastAsia="仿宋" w:hAnsi="仿宋" w:cs="Times New Roman" w:hint="eastAsia"/>
          <w:sz w:val="32"/>
          <w:szCs w:val="32"/>
        </w:rPr>
        <w:t>）</w:t>
      </w:r>
    </w:p>
    <w:p w:rsidR="00E35C75" w:rsidRDefault="00E35C75">
      <w:pPr>
        <w:jc w:val="center"/>
        <w:rPr>
          <w:rFonts w:ascii="仿宋" w:eastAsia="仿宋" w:hAnsi="仿宋" w:cs="Times New Roman"/>
          <w:sz w:val="32"/>
          <w:szCs w:val="32"/>
        </w:rPr>
      </w:pPr>
    </w:p>
    <w:p w:rsidR="00E35C75" w:rsidRDefault="003A0821">
      <w:pPr>
        <w:ind w:firstLineChars="200" w:firstLine="640"/>
        <w:rPr>
          <w:rFonts w:ascii="仿宋" w:eastAsia="仿宋" w:hAnsi="仿宋" w:cs="Times New Roman"/>
          <w:sz w:val="32"/>
          <w:szCs w:val="32"/>
        </w:rPr>
      </w:pPr>
      <w:r>
        <w:rPr>
          <w:rFonts w:ascii="仿宋" w:eastAsia="仿宋" w:hAnsi="仿宋" w:cs="Times New Roman"/>
          <w:sz w:val="32"/>
          <w:szCs w:val="32"/>
        </w:rPr>
        <w:t>2020</w:t>
      </w:r>
      <w:r>
        <w:rPr>
          <w:rFonts w:ascii="仿宋" w:eastAsia="仿宋" w:hAnsi="仿宋" w:cs="Times New Roman" w:hint="eastAsia"/>
          <w:sz w:val="32"/>
          <w:szCs w:val="32"/>
        </w:rPr>
        <w:t>年</w:t>
      </w:r>
      <w:r>
        <w:rPr>
          <w:rFonts w:ascii="仿宋" w:eastAsia="仿宋" w:hAnsi="仿宋" w:cs="Times New Roman"/>
          <w:sz w:val="32"/>
          <w:szCs w:val="32"/>
        </w:rPr>
        <w:t>10</w:t>
      </w:r>
      <w:r>
        <w:rPr>
          <w:rFonts w:ascii="仿宋" w:eastAsia="仿宋" w:hAnsi="仿宋" w:cs="Times New Roman" w:hint="eastAsia"/>
          <w:sz w:val="32"/>
          <w:szCs w:val="32"/>
        </w:rPr>
        <w:t>月中共中央办公厅、国务院办公厅联合印发《深圳建设中国特色社会主义先行示范区综合改革试点实施方案（</w:t>
      </w:r>
      <w:r>
        <w:rPr>
          <w:rFonts w:ascii="仿宋" w:eastAsia="仿宋" w:hAnsi="仿宋" w:cs="Times New Roman"/>
          <w:sz w:val="32"/>
          <w:szCs w:val="32"/>
        </w:rPr>
        <w:t>2020-2025</w:t>
      </w:r>
      <w:r>
        <w:rPr>
          <w:rFonts w:ascii="仿宋" w:eastAsia="仿宋" w:hAnsi="仿宋" w:cs="Times New Roman"/>
          <w:sz w:val="32"/>
          <w:szCs w:val="32"/>
        </w:rPr>
        <w:t>）》（以下简称《</w:t>
      </w:r>
      <w:r>
        <w:rPr>
          <w:rFonts w:ascii="仿宋" w:eastAsia="仿宋" w:hAnsi="仿宋" w:cs="Times New Roman" w:hint="eastAsia"/>
          <w:sz w:val="32"/>
          <w:szCs w:val="32"/>
        </w:rPr>
        <w:t>改革试点方案》），对盘活存量低效工业用地提出了改革要求。为深入贯彻落实《改革试点方案》有关精神，加快盘活各类存量低效用地，保障“</w:t>
      </w:r>
      <w:r>
        <w:rPr>
          <w:rFonts w:ascii="仿宋" w:eastAsia="仿宋" w:hAnsi="仿宋" w:cs="Times New Roman" w:hint="eastAsia"/>
          <w:sz w:val="32"/>
          <w:szCs w:val="32"/>
        </w:rPr>
        <w:t>2</w:t>
      </w:r>
      <w:r>
        <w:rPr>
          <w:rFonts w:ascii="仿宋" w:eastAsia="仿宋" w:hAnsi="仿宋" w:cs="Times New Roman"/>
          <w:sz w:val="32"/>
          <w:szCs w:val="32"/>
        </w:rPr>
        <w:t>0</w:t>
      </w:r>
      <w:r>
        <w:rPr>
          <w:rFonts w:ascii="仿宋" w:eastAsia="仿宋" w:hAnsi="仿宋" w:cs="Times New Roman" w:hint="eastAsia"/>
          <w:sz w:val="32"/>
          <w:szCs w:val="32"/>
        </w:rPr>
        <w:t>+</w:t>
      </w:r>
      <w:r>
        <w:rPr>
          <w:rFonts w:ascii="仿宋" w:eastAsia="仿宋" w:hAnsi="仿宋" w:cs="Times New Roman"/>
          <w:sz w:val="32"/>
          <w:szCs w:val="32"/>
        </w:rPr>
        <w:t>8</w:t>
      </w:r>
      <w:r>
        <w:rPr>
          <w:rFonts w:ascii="仿宋" w:eastAsia="仿宋" w:hAnsi="仿宋" w:cs="Times New Roman" w:hint="eastAsia"/>
          <w:sz w:val="32"/>
          <w:szCs w:val="32"/>
        </w:rPr>
        <w:t>”战略与未来产业集群发展的空间需求，健全土地整备政策体系，按照市委市政府工作部署，我局开展了《深圳市土地整备利益统筹办法》（以下简称“本办法”）的起草工作。现将主要内容说明如下：</w:t>
      </w:r>
    </w:p>
    <w:p w:rsidR="00E35C75" w:rsidRDefault="003A0821">
      <w:pPr>
        <w:keepNext/>
        <w:keepLines/>
        <w:numPr>
          <w:ilvl w:val="0"/>
          <w:numId w:val="1"/>
        </w:numPr>
        <w:spacing w:line="56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t>制定背景及必要性</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土地整备是破解我市土地资源瓶颈、促进城市规划实施、推进特区一体化的重要举措。在</w:t>
      </w:r>
      <w:proofErr w:type="gramStart"/>
      <w:r>
        <w:rPr>
          <w:rFonts w:ascii="仿宋" w:eastAsia="仿宋" w:hAnsi="仿宋" w:cs="Times New Roman" w:hint="eastAsia"/>
          <w:sz w:val="32"/>
          <w:szCs w:val="32"/>
        </w:rPr>
        <w:t>坪山区</w:t>
      </w:r>
      <w:proofErr w:type="gramEnd"/>
      <w:r>
        <w:rPr>
          <w:rFonts w:ascii="仿宋" w:eastAsia="仿宋" w:hAnsi="仿宋" w:cs="Times New Roman" w:hint="eastAsia"/>
          <w:sz w:val="32"/>
          <w:szCs w:val="32"/>
        </w:rPr>
        <w:t>南步、沙湖社区整村统筹试点的基础上，依托</w:t>
      </w:r>
      <w:r>
        <w:rPr>
          <w:rFonts w:ascii="仿宋" w:eastAsia="仿宋" w:hAnsi="仿宋" w:cs="Times New Roman"/>
          <w:sz w:val="32"/>
          <w:szCs w:val="32"/>
        </w:rPr>
        <w:t>2012</w:t>
      </w:r>
      <w:r>
        <w:rPr>
          <w:rFonts w:ascii="仿宋" w:eastAsia="仿宋" w:hAnsi="仿宋" w:cs="Times New Roman" w:hint="eastAsia"/>
          <w:sz w:val="32"/>
          <w:szCs w:val="32"/>
        </w:rPr>
        <w:t>年部省联合批复的《深圳市土地管理制度改革总体方案（</w:t>
      </w:r>
      <w:r>
        <w:rPr>
          <w:rFonts w:ascii="仿宋" w:eastAsia="仿宋" w:hAnsi="仿宋" w:cs="Times New Roman"/>
          <w:sz w:val="32"/>
          <w:szCs w:val="32"/>
        </w:rPr>
        <w:t>2012-2020</w:t>
      </w:r>
      <w:r>
        <w:rPr>
          <w:rFonts w:ascii="仿宋" w:eastAsia="仿宋" w:hAnsi="仿宋" w:cs="Times New Roman" w:hint="eastAsia"/>
          <w:sz w:val="32"/>
          <w:szCs w:val="32"/>
        </w:rPr>
        <w:t>年）》，以利益共享为原则、以原农村集体经济组织继受单位</w:t>
      </w:r>
      <w:proofErr w:type="gramStart"/>
      <w:r>
        <w:rPr>
          <w:rFonts w:ascii="仿宋" w:eastAsia="仿宋" w:hAnsi="仿宋" w:cs="Times New Roman" w:hint="eastAsia"/>
          <w:sz w:val="32"/>
          <w:szCs w:val="32"/>
        </w:rPr>
        <w:t>实际掌</w:t>
      </w:r>
      <w:proofErr w:type="gramEnd"/>
      <w:r>
        <w:rPr>
          <w:rFonts w:ascii="仿宋" w:eastAsia="仿宋" w:hAnsi="仿宋" w:cs="Times New Roman" w:hint="eastAsia"/>
          <w:sz w:val="32"/>
          <w:szCs w:val="32"/>
        </w:rPr>
        <w:t>控用地为主要对象，深圳出台《土地整备利益统筹试点项目管</w:t>
      </w:r>
      <w:r>
        <w:rPr>
          <w:rFonts w:ascii="仿宋" w:eastAsia="仿宋" w:hAnsi="仿宋" w:cs="Times New Roman" w:hint="eastAsia"/>
          <w:sz w:val="32"/>
          <w:szCs w:val="32"/>
        </w:rPr>
        <w:t>理办法》（深</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土〔</w:t>
      </w:r>
      <w:r>
        <w:rPr>
          <w:rFonts w:ascii="仿宋" w:eastAsia="仿宋" w:hAnsi="仿宋" w:cs="Times New Roman"/>
          <w:sz w:val="32"/>
          <w:szCs w:val="32"/>
        </w:rPr>
        <w:t>2015</w:t>
      </w:r>
      <w:r>
        <w:rPr>
          <w:rFonts w:ascii="仿宋" w:eastAsia="仿宋" w:hAnsi="仿宋" w:cs="Times New Roman" w:hint="eastAsia"/>
          <w:sz w:val="32"/>
          <w:szCs w:val="32"/>
        </w:rPr>
        <w:t>〕</w:t>
      </w:r>
      <w:r>
        <w:rPr>
          <w:rFonts w:ascii="仿宋" w:eastAsia="仿宋" w:hAnsi="仿宋" w:cs="Times New Roman"/>
          <w:sz w:val="32"/>
          <w:szCs w:val="32"/>
        </w:rPr>
        <w:t>721</w:t>
      </w:r>
      <w:r>
        <w:rPr>
          <w:rFonts w:ascii="仿宋" w:eastAsia="仿宋" w:hAnsi="仿宋" w:cs="Times New Roman" w:hint="eastAsia"/>
          <w:sz w:val="32"/>
          <w:szCs w:val="32"/>
        </w:rPr>
        <w:t>号），通过规划、土地、资金、产权的政策组合拳，对零散低效用地进行整合、清理和再开发，统</w:t>
      </w:r>
      <w:r>
        <w:rPr>
          <w:rFonts w:ascii="仿宋" w:eastAsia="仿宋" w:hAnsi="仿宋" w:cs="Times New Roman" w:hint="eastAsia"/>
          <w:sz w:val="32"/>
          <w:szCs w:val="32"/>
        </w:rPr>
        <w:lastRenderedPageBreak/>
        <w:t>筹解决整备范围内补偿安置问题。经过</w:t>
      </w:r>
      <w:r>
        <w:rPr>
          <w:rFonts w:ascii="仿宋" w:eastAsia="仿宋" w:hAnsi="仿宋" w:cs="Times New Roman"/>
          <w:sz w:val="32"/>
          <w:szCs w:val="32"/>
        </w:rPr>
        <w:t>3</w:t>
      </w:r>
      <w:r>
        <w:rPr>
          <w:rFonts w:ascii="仿宋" w:eastAsia="仿宋" w:hAnsi="仿宋" w:cs="Times New Roman"/>
          <w:sz w:val="32"/>
          <w:szCs w:val="32"/>
        </w:rPr>
        <w:t>年政策试点实践，通过</w:t>
      </w:r>
      <w:r>
        <w:rPr>
          <w:rFonts w:ascii="仿宋" w:eastAsia="仿宋" w:hAnsi="仿宋" w:cs="Times New Roman" w:hint="eastAsia"/>
          <w:sz w:val="32"/>
          <w:szCs w:val="32"/>
        </w:rPr>
        <w:t>对留用土地核算规则、规划容积核算规则、地价测算规则等进行优化，</w:t>
      </w:r>
      <w:r>
        <w:rPr>
          <w:rFonts w:ascii="仿宋" w:eastAsia="仿宋" w:hAnsi="仿宋" w:cs="Times New Roman"/>
          <w:sz w:val="32"/>
          <w:szCs w:val="32"/>
        </w:rPr>
        <w:t>2018</w:t>
      </w:r>
      <w:r>
        <w:rPr>
          <w:rFonts w:ascii="仿宋" w:eastAsia="仿宋" w:hAnsi="仿宋" w:cs="Times New Roman" w:hint="eastAsia"/>
          <w:sz w:val="32"/>
          <w:szCs w:val="32"/>
        </w:rPr>
        <w:t>年深圳修订出台《深圳市土地整备利益统筹项目管理办法》（深</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土</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w:t>
      </w:r>
      <w:r>
        <w:rPr>
          <w:rFonts w:ascii="仿宋" w:eastAsia="仿宋" w:hAnsi="仿宋" w:cs="Times New Roman"/>
          <w:sz w:val="32"/>
          <w:szCs w:val="32"/>
        </w:rPr>
        <w:t>2018</w:t>
      </w:r>
      <w:r>
        <w:rPr>
          <w:rFonts w:ascii="仿宋" w:eastAsia="仿宋" w:hAnsi="仿宋" w:cs="Times New Roman" w:hint="eastAsia"/>
          <w:sz w:val="32"/>
          <w:szCs w:val="32"/>
        </w:rPr>
        <w:t>〕</w:t>
      </w:r>
      <w:r>
        <w:rPr>
          <w:rFonts w:ascii="仿宋" w:eastAsia="仿宋" w:hAnsi="仿宋" w:cs="Times New Roman"/>
          <w:sz w:val="32"/>
          <w:szCs w:val="32"/>
        </w:rPr>
        <w:t>6</w:t>
      </w:r>
      <w:r>
        <w:rPr>
          <w:rFonts w:ascii="仿宋" w:eastAsia="仿宋" w:hAnsi="仿宋" w:cs="Times New Roman" w:hint="eastAsia"/>
          <w:sz w:val="32"/>
          <w:szCs w:val="32"/>
        </w:rPr>
        <w:t>号，以下简称“</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hint="eastAsia"/>
          <w:sz w:val="32"/>
          <w:szCs w:val="32"/>
        </w:rPr>
        <w:t>）。“</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hint="eastAsia"/>
          <w:sz w:val="32"/>
          <w:szCs w:val="32"/>
        </w:rPr>
        <w:t>获得了原农村集体经济组织继受单位的支持，在保障外环高速、南坪三期、地铁</w:t>
      </w:r>
      <w:r>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cs="Times New Roman" w:hint="eastAsia"/>
          <w:sz w:val="32"/>
          <w:szCs w:val="32"/>
        </w:rPr>
        <w:t>6</w:t>
      </w:r>
      <w:r>
        <w:rPr>
          <w:rFonts w:ascii="仿宋" w:eastAsia="仿宋" w:hAnsi="仿宋" w:cs="Times New Roman" w:hint="eastAsia"/>
          <w:sz w:val="32"/>
          <w:szCs w:val="32"/>
        </w:rPr>
        <w:t>、</w:t>
      </w:r>
      <w:r>
        <w:rPr>
          <w:rFonts w:ascii="仿宋" w:eastAsia="仿宋" w:hAnsi="仿宋" w:cs="Times New Roman" w:hint="eastAsia"/>
          <w:sz w:val="32"/>
          <w:szCs w:val="32"/>
        </w:rPr>
        <w:t>12</w:t>
      </w:r>
      <w:r>
        <w:rPr>
          <w:rFonts w:ascii="仿宋" w:eastAsia="仿宋" w:hAnsi="仿宋" w:cs="Times New Roman" w:hint="eastAsia"/>
          <w:sz w:val="32"/>
          <w:szCs w:val="32"/>
        </w:rPr>
        <w:t>、</w:t>
      </w:r>
      <w:r>
        <w:rPr>
          <w:rFonts w:ascii="仿宋" w:eastAsia="仿宋" w:hAnsi="仿宋" w:cs="Times New Roman" w:hint="eastAsia"/>
          <w:sz w:val="32"/>
          <w:szCs w:val="32"/>
        </w:rPr>
        <w:t>14</w:t>
      </w:r>
      <w:r>
        <w:rPr>
          <w:rFonts w:ascii="仿宋" w:eastAsia="仿宋" w:hAnsi="仿宋" w:cs="Times New Roman" w:hint="eastAsia"/>
          <w:sz w:val="32"/>
          <w:szCs w:val="32"/>
        </w:rPr>
        <w:t>、</w:t>
      </w:r>
      <w:r>
        <w:rPr>
          <w:rFonts w:ascii="仿宋" w:eastAsia="仿宋" w:hAnsi="仿宋" w:cs="Times New Roman" w:hint="eastAsia"/>
          <w:sz w:val="32"/>
          <w:szCs w:val="32"/>
        </w:rPr>
        <w:t>20</w:t>
      </w:r>
      <w:r>
        <w:rPr>
          <w:rFonts w:ascii="仿宋" w:eastAsia="仿宋" w:hAnsi="仿宋" w:cs="Times New Roman" w:hint="eastAsia"/>
          <w:sz w:val="32"/>
          <w:szCs w:val="32"/>
        </w:rPr>
        <w:t>号线等公共服务设施、城市基础设施用地，以及立讯精密、南京金龙</w:t>
      </w:r>
      <w:r>
        <w:rPr>
          <w:rFonts w:ascii="仿宋" w:eastAsia="仿宋" w:hAnsi="仿宋" w:cs="Times New Roman" w:hint="eastAsia"/>
          <w:sz w:val="32"/>
          <w:szCs w:val="32"/>
        </w:rPr>
        <w:t>汽车等重大产业项目实施的同时，也持续推进了国土空间提质增效。虽然“</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hint="eastAsia"/>
          <w:sz w:val="32"/>
          <w:szCs w:val="32"/>
        </w:rPr>
        <w:t>实践取得了一定成效，但是新形势对创新土地整备利益统筹政策也提出了新要求。</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（一）是落实综合改革试点、构建存量用地开发政策体系的需要</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综合改革试点》提出支持深化土地管理制度改革探索，支持盘活利用存量工业用地，探索解决规划调整、土地供应、收益分配、历史遗留用地问题。进一步创新土地整备利益统筹政策，是我市落实综合改革试点、深化土地管理制度改革、加快构建更加公平更可持续的存量用地开发新格局的客观要求，也是实现存量用地空间资源的科学、精准、高效配置的现实需要。</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（二）是实施国土空间规划、促进空间结构调整优化的需要</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根据《深圳市国土空间总体规划（</w:t>
      </w:r>
      <w:r>
        <w:rPr>
          <w:rFonts w:ascii="仿宋" w:eastAsia="仿宋" w:hAnsi="仿宋" w:cs="Times New Roman"/>
          <w:sz w:val="32"/>
          <w:szCs w:val="32"/>
        </w:rPr>
        <w:t>2020-2035</w:t>
      </w:r>
      <w:r>
        <w:rPr>
          <w:rFonts w:ascii="仿宋" w:eastAsia="仿宋" w:hAnsi="仿宋" w:cs="Times New Roman" w:hint="eastAsia"/>
          <w:sz w:val="32"/>
          <w:szCs w:val="32"/>
        </w:rPr>
        <w:t>年）》（征</w:t>
      </w:r>
      <w:r>
        <w:rPr>
          <w:rFonts w:ascii="仿宋" w:eastAsia="仿宋" w:hAnsi="仿宋" w:cs="Times New Roman" w:hint="eastAsia"/>
          <w:sz w:val="32"/>
          <w:szCs w:val="32"/>
        </w:rPr>
        <w:lastRenderedPageBreak/>
        <w:t>求意见稿），</w:t>
      </w:r>
      <w:r>
        <w:rPr>
          <w:rFonts w:ascii="仿宋" w:eastAsia="仿宋" w:hAnsi="仿宋" w:cs="Times New Roman"/>
          <w:sz w:val="32"/>
          <w:szCs w:val="32"/>
        </w:rPr>
        <w:t>全市将持续优化国土空间用地和建筑结构，进一步提高居住用地和公共</w:t>
      </w:r>
      <w:r>
        <w:rPr>
          <w:rFonts w:ascii="仿宋" w:eastAsia="仿宋" w:hAnsi="仿宋" w:cs="Times New Roman"/>
          <w:sz w:val="32"/>
          <w:szCs w:val="32"/>
        </w:rPr>
        <w:t>服务设施用地占比，适度减少商业服务业用地比例。同时，全市以城市更新、土地整备、旧住宅区改造为主导存量低效用地再开发规模不少于</w:t>
      </w:r>
      <w:r>
        <w:rPr>
          <w:rFonts w:ascii="仿宋" w:eastAsia="仿宋" w:hAnsi="仿宋" w:cs="Times New Roman"/>
          <w:sz w:val="32"/>
          <w:szCs w:val="32"/>
        </w:rPr>
        <w:t>170</w:t>
      </w:r>
      <w:r>
        <w:rPr>
          <w:rFonts w:ascii="仿宋" w:eastAsia="仿宋" w:hAnsi="仿宋" w:cs="Times New Roman"/>
          <w:sz w:val="32"/>
          <w:szCs w:val="32"/>
        </w:rPr>
        <w:t>平方公里。土地整备作为盘活存量用地、促进空间结构调整和实现城市功能优化的重要手段，亟需通过政策创新加强国土空间规划实施。</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（三）是完善土地整备政策体系、高质量推进土地整备工作的需要</w:t>
      </w:r>
    </w:p>
    <w:p w:rsidR="00E35C75" w:rsidRDefault="003A0821">
      <w:pPr>
        <w:ind w:firstLineChars="200" w:firstLine="640"/>
        <w:rPr>
          <w:rFonts w:ascii="仿宋" w:eastAsia="仿宋" w:hAnsi="仿宋" w:cs="Times New Roman"/>
          <w:sz w:val="32"/>
          <w:szCs w:val="32"/>
        </w:rPr>
      </w:pPr>
      <w:r>
        <w:rPr>
          <w:rFonts w:ascii="仿宋" w:eastAsia="仿宋" w:hAnsi="仿宋" w:hint="eastAsia"/>
          <w:sz w:val="32"/>
          <w:szCs w:val="32"/>
        </w:rPr>
        <w:t>一方面，</w:t>
      </w:r>
      <w:r>
        <w:rPr>
          <w:rFonts w:ascii="仿宋" w:eastAsia="仿宋" w:hAnsi="仿宋" w:hint="eastAsia"/>
          <w:bCs/>
          <w:sz w:val="32"/>
          <w:szCs w:val="32"/>
        </w:rPr>
        <w:t>现行土地整备利益统筹政策主要</w:t>
      </w:r>
      <w:proofErr w:type="gramStart"/>
      <w:r>
        <w:rPr>
          <w:rFonts w:ascii="仿宋" w:eastAsia="仿宋" w:hAnsi="仿宋" w:hint="eastAsia"/>
          <w:bCs/>
          <w:sz w:val="32"/>
          <w:szCs w:val="32"/>
        </w:rPr>
        <w:t>盘活原</w:t>
      </w:r>
      <w:proofErr w:type="gramEnd"/>
      <w:r>
        <w:rPr>
          <w:rFonts w:ascii="仿宋" w:eastAsia="仿宋" w:hAnsi="仿宋" w:hint="eastAsia"/>
          <w:bCs/>
          <w:sz w:val="32"/>
          <w:szCs w:val="32"/>
        </w:rPr>
        <w:t>农村集体经济组织继受单位</w:t>
      </w:r>
      <w:proofErr w:type="gramStart"/>
      <w:r>
        <w:rPr>
          <w:rFonts w:ascii="仿宋" w:eastAsia="仿宋" w:hAnsi="仿宋" w:hint="eastAsia"/>
          <w:bCs/>
          <w:sz w:val="32"/>
          <w:szCs w:val="32"/>
        </w:rPr>
        <w:t>实际掌</w:t>
      </w:r>
      <w:proofErr w:type="gramEnd"/>
      <w:r>
        <w:rPr>
          <w:rFonts w:ascii="仿宋" w:eastAsia="仿宋" w:hAnsi="仿宋" w:hint="eastAsia"/>
          <w:bCs/>
          <w:sz w:val="32"/>
          <w:szCs w:val="32"/>
        </w:rPr>
        <w:t>控用地，我市还有大量国有已出让用地、已征未完善出让手续用地等其他类型低效用地未纳入利益统筹政策范围，不利于推进集中连片整备工作；</w:t>
      </w:r>
      <w:r>
        <w:rPr>
          <w:rFonts w:ascii="仿宋" w:eastAsia="仿宋" w:hAnsi="仿宋" w:hint="eastAsia"/>
          <w:bCs/>
          <w:sz w:val="32"/>
          <w:szCs w:val="32"/>
        </w:rPr>
        <w:t>另一方面，现行政策的利益核算规则可能带来开发收益的不平衡，需要进一步修改完善以</w:t>
      </w:r>
      <w:r>
        <w:rPr>
          <w:rFonts w:ascii="仿宋" w:eastAsia="仿宋" w:hAnsi="仿宋" w:cs="Times New Roman" w:hint="eastAsia"/>
          <w:sz w:val="32"/>
          <w:szCs w:val="32"/>
        </w:rPr>
        <w:t>更好推进高质量土地整备工作。</w:t>
      </w:r>
    </w:p>
    <w:p w:rsidR="00E35C75" w:rsidRDefault="003A0821">
      <w:pPr>
        <w:keepNext/>
        <w:keepLines/>
        <w:numPr>
          <w:ilvl w:val="0"/>
          <w:numId w:val="1"/>
        </w:numPr>
        <w:spacing w:line="56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t>主要内容</w:t>
      </w:r>
    </w:p>
    <w:p w:rsidR="00E35C75" w:rsidRDefault="003A0821">
      <w:pPr>
        <w:ind w:firstLineChars="200" w:firstLine="640"/>
        <w:rPr>
          <w:rFonts w:ascii="仿宋" w:eastAsia="仿宋" w:hAnsi="仿宋" w:cs="Times New Roman"/>
          <w:sz w:val="32"/>
          <w:szCs w:val="32"/>
        </w:rPr>
      </w:pPr>
      <w:bookmarkStart w:id="0" w:name="_Hlk86151513"/>
      <w:r>
        <w:rPr>
          <w:rFonts w:ascii="仿宋" w:eastAsia="仿宋" w:hAnsi="仿宋" w:cs="Times New Roman" w:hint="eastAsia"/>
          <w:sz w:val="32"/>
          <w:szCs w:val="32"/>
        </w:rPr>
        <w:t>本政策总体思路是建立以利益共享为原则、权益容积为基准，更加公平更可持续的土地整备利益统筹政策体系</w:t>
      </w:r>
      <w:bookmarkEnd w:id="0"/>
      <w:r>
        <w:rPr>
          <w:rFonts w:ascii="仿宋" w:eastAsia="仿宋" w:hAnsi="仿宋" w:cs="Times New Roman" w:hint="eastAsia"/>
          <w:sz w:val="32"/>
          <w:szCs w:val="32"/>
        </w:rPr>
        <w:t>。主要内容如下：</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（一）政策适用范围</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在“</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hint="eastAsia"/>
          <w:sz w:val="32"/>
          <w:szCs w:val="32"/>
        </w:rPr>
        <w:t>的基础上，本办法将政策对象扩大到各类产权的存量低效用地，包括原农村集体经济组织继受单位</w:t>
      </w:r>
      <w:proofErr w:type="gramStart"/>
      <w:r>
        <w:rPr>
          <w:rFonts w:ascii="仿宋" w:eastAsia="仿宋" w:hAnsi="仿宋" w:cs="Times New Roman" w:hint="eastAsia"/>
          <w:sz w:val="32"/>
          <w:szCs w:val="32"/>
        </w:rPr>
        <w:t>实</w:t>
      </w:r>
      <w:r>
        <w:rPr>
          <w:rFonts w:ascii="仿宋" w:eastAsia="仿宋" w:hAnsi="仿宋" w:cs="Times New Roman" w:hint="eastAsia"/>
          <w:sz w:val="32"/>
          <w:szCs w:val="32"/>
        </w:rPr>
        <w:lastRenderedPageBreak/>
        <w:t>际掌</w:t>
      </w:r>
      <w:proofErr w:type="gramEnd"/>
      <w:r>
        <w:rPr>
          <w:rFonts w:ascii="仿宋" w:eastAsia="仿宋" w:hAnsi="仿宋" w:cs="Times New Roman" w:hint="eastAsia"/>
          <w:sz w:val="32"/>
          <w:szCs w:val="32"/>
        </w:rPr>
        <w:t>控的合法用地和未完善征（转）地补偿手续用地、已征未完善出让手续用地、国有已出让用地等。此外，为加强政策衔接，本办法要求纳入土地整备利益统筹项目（以下简称“利</w:t>
      </w:r>
      <w:r>
        <w:rPr>
          <w:rFonts w:ascii="仿宋" w:eastAsia="仿宋" w:hAnsi="仿宋" w:cs="Times New Roman" w:hint="eastAsia"/>
          <w:sz w:val="32"/>
          <w:szCs w:val="32"/>
        </w:rPr>
        <w:t>益统筹项目”）的国有已出让用地已出让年限原则上不少于</w:t>
      </w:r>
      <w:r>
        <w:rPr>
          <w:rFonts w:ascii="仿宋" w:eastAsia="仿宋" w:hAnsi="仿宋" w:cs="Times New Roman"/>
          <w:sz w:val="32"/>
          <w:szCs w:val="32"/>
        </w:rPr>
        <w:t>15</w:t>
      </w:r>
      <w:r>
        <w:rPr>
          <w:rFonts w:ascii="仿宋" w:eastAsia="仿宋" w:hAnsi="仿宋" w:cs="Times New Roman"/>
          <w:sz w:val="32"/>
          <w:szCs w:val="32"/>
        </w:rPr>
        <w:t>年，但位于市级以上重大项目范围</w:t>
      </w:r>
      <w:r>
        <w:rPr>
          <w:rFonts w:ascii="仿宋" w:eastAsia="仿宋" w:hAnsi="仿宋" w:cs="Times New Roman" w:hint="eastAsia"/>
          <w:sz w:val="32"/>
          <w:szCs w:val="32"/>
        </w:rPr>
        <w:t>内、</w:t>
      </w:r>
      <w:r>
        <w:rPr>
          <w:rFonts w:ascii="仿宋" w:eastAsia="仿宋" w:hAnsi="仿宋" w:cs="Times New Roman"/>
          <w:sz w:val="32"/>
          <w:szCs w:val="32"/>
        </w:rPr>
        <w:t>市土地整备专项规划确定的产业空间整备区、综合功能整备区的</w:t>
      </w:r>
      <w:r>
        <w:rPr>
          <w:rFonts w:ascii="仿宋" w:eastAsia="仿宋" w:hAnsi="仿宋" w:cs="Times New Roman" w:hint="eastAsia"/>
          <w:sz w:val="32"/>
          <w:szCs w:val="32"/>
        </w:rPr>
        <w:t>不受</w:t>
      </w:r>
      <w:r>
        <w:rPr>
          <w:rFonts w:ascii="仿宋" w:eastAsia="仿宋" w:hAnsi="仿宋" w:cs="Times New Roman"/>
          <w:sz w:val="32"/>
          <w:szCs w:val="32"/>
        </w:rPr>
        <w:t>出让年期限制。</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（二）土地整备资金核算</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本办法延续了“</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hint="eastAsia"/>
          <w:sz w:val="32"/>
          <w:szCs w:val="32"/>
        </w:rPr>
        <w:t>的政策思路，对于建（构）筑</w:t>
      </w:r>
      <w:proofErr w:type="gramStart"/>
      <w:r>
        <w:rPr>
          <w:rFonts w:ascii="仿宋" w:eastAsia="仿宋" w:hAnsi="仿宋" w:cs="Times New Roman" w:hint="eastAsia"/>
          <w:sz w:val="32"/>
          <w:szCs w:val="32"/>
        </w:rPr>
        <w:t>物按照</w:t>
      </w:r>
      <w:proofErr w:type="gramEnd"/>
      <w:r>
        <w:rPr>
          <w:rFonts w:ascii="仿宋" w:eastAsia="仿宋" w:hAnsi="仿宋" w:cs="Times New Roman" w:hint="eastAsia"/>
          <w:sz w:val="32"/>
          <w:szCs w:val="32"/>
        </w:rPr>
        <w:t>重置价补偿，青苗和附着物等按照土地整备相关标准补偿。</w:t>
      </w:r>
      <w:r>
        <w:rPr>
          <w:rFonts w:ascii="仿宋" w:eastAsia="仿宋" w:hAnsi="仿宋" w:hint="eastAsia"/>
          <w:sz w:val="32"/>
          <w:szCs w:val="32"/>
        </w:rPr>
        <w:t>已征未完善出让手续用地、未完善征（转）地补偿手续用地中，不属于土地整备规划建设用地的按照土地整备相关标准核算。</w:t>
      </w:r>
      <w:r>
        <w:rPr>
          <w:rFonts w:ascii="仿宋" w:eastAsia="仿宋" w:hAnsi="仿宋" w:cs="Times New Roman" w:hint="eastAsia"/>
          <w:sz w:val="32"/>
          <w:szCs w:val="32"/>
        </w:rPr>
        <w:t>项目涉及的技术支持费、不可预见费、业务费等，按照《关于进一步优化土地整备项目管理工作机制的若干措施》（深府</w:t>
      </w:r>
      <w:r>
        <w:rPr>
          <w:rFonts w:ascii="仿宋" w:eastAsia="仿宋" w:hAnsi="仿宋" w:cs="Times New Roman" w:hint="eastAsia"/>
          <w:sz w:val="32"/>
          <w:szCs w:val="32"/>
        </w:rPr>
        <w:t>办函〔</w:t>
      </w:r>
      <w:r>
        <w:rPr>
          <w:rFonts w:ascii="仿宋" w:eastAsia="仿宋" w:hAnsi="仿宋" w:cs="Times New Roman"/>
          <w:sz w:val="32"/>
          <w:szCs w:val="32"/>
        </w:rPr>
        <w:t>2018</w:t>
      </w:r>
      <w:r>
        <w:rPr>
          <w:rFonts w:ascii="仿宋" w:eastAsia="仿宋" w:hAnsi="仿宋" w:cs="Times New Roman" w:hint="eastAsia"/>
          <w:sz w:val="32"/>
          <w:szCs w:val="32"/>
        </w:rPr>
        <w:t>〕</w:t>
      </w:r>
      <w:r>
        <w:rPr>
          <w:rFonts w:ascii="仿宋" w:eastAsia="仿宋" w:hAnsi="仿宋" w:cs="Times New Roman"/>
          <w:sz w:val="32"/>
          <w:szCs w:val="32"/>
        </w:rPr>
        <w:t>281</w:t>
      </w:r>
      <w:r>
        <w:rPr>
          <w:rFonts w:ascii="仿宋" w:eastAsia="仿宋" w:hAnsi="仿宋" w:cs="Times New Roman"/>
          <w:sz w:val="32"/>
          <w:szCs w:val="32"/>
        </w:rPr>
        <w:t>号）</w:t>
      </w:r>
      <w:r>
        <w:rPr>
          <w:rFonts w:ascii="仿宋" w:eastAsia="仿宋" w:hAnsi="仿宋" w:cs="Times New Roman" w:hint="eastAsia"/>
          <w:sz w:val="32"/>
          <w:szCs w:val="32"/>
        </w:rPr>
        <w:t>相关规定执行。</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（三）留用土地规划容积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本办法改变了</w:t>
      </w:r>
      <w:r>
        <w:rPr>
          <w:rFonts w:ascii="仿宋" w:eastAsia="仿宋" w:hAnsi="仿宋" w:cs="Times New Roman" w:hint="eastAsia"/>
          <w:sz w:val="32"/>
          <w:szCs w:val="32"/>
        </w:rPr>
        <w:t xml:space="preserve"> </w:t>
      </w:r>
      <w:r>
        <w:rPr>
          <w:rFonts w:ascii="仿宋" w:eastAsia="仿宋" w:hAnsi="仿宋" w:cs="Times New Roman" w:hint="eastAsia"/>
          <w:sz w:val="32"/>
          <w:szCs w:val="32"/>
        </w:rPr>
        <w:t>“</w:t>
      </w:r>
      <w:r>
        <w:rPr>
          <w:rFonts w:ascii="仿宋" w:eastAsia="仿宋" w:hAnsi="仿宋" w:cs="Times New Roman" w:hint="eastAsia"/>
          <w:sz w:val="32"/>
          <w:szCs w:val="32"/>
        </w:rPr>
        <w:t>6</w:t>
      </w:r>
      <w:r>
        <w:rPr>
          <w:rFonts w:ascii="仿宋" w:eastAsia="仿宋" w:hAnsi="仿宋" w:cs="Times New Roman" w:hint="eastAsia"/>
          <w:sz w:val="32"/>
          <w:szCs w:val="32"/>
        </w:rPr>
        <w:t>号文”“先核算留用土地规模、再核定留用土地功能，最后计算留用土地开发强度”的方法，确立了“先核算留用土地规划容积，再确定留用土地容积率，最后计算留用土地规模”的规则，以促进不同土地整备项目之间的利益平衡，建立更公平的土地整备利益分配机制。留用土地规划容积由权益容积、配套容积和共享容积三部分构</w:t>
      </w:r>
      <w:r>
        <w:rPr>
          <w:rFonts w:ascii="仿宋" w:eastAsia="仿宋" w:hAnsi="仿宋" w:cs="Times New Roman" w:hint="eastAsia"/>
          <w:sz w:val="32"/>
          <w:szCs w:val="32"/>
        </w:rPr>
        <w:lastRenderedPageBreak/>
        <w:t>成。</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b/>
          <w:sz w:val="32"/>
          <w:szCs w:val="32"/>
        </w:rPr>
        <w:t>1.</w:t>
      </w:r>
      <w:r>
        <w:rPr>
          <w:rFonts w:ascii="仿宋" w:eastAsia="仿宋" w:hAnsi="仿宋" w:cs="Times New Roman" w:hint="eastAsia"/>
          <w:b/>
          <w:sz w:val="32"/>
          <w:szCs w:val="32"/>
        </w:rPr>
        <w:t>权益容积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sz w:val="32"/>
          <w:szCs w:val="32"/>
        </w:rPr>
        <w:t>2019</w:t>
      </w:r>
      <w:r>
        <w:rPr>
          <w:rFonts w:ascii="仿宋" w:eastAsia="仿宋" w:hAnsi="仿宋" w:cs="Times New Roman"/>
          <w:sz w:val="32"/>
          <w:szCs w:val="32"/>
        </w:rPr>
        <w:t>年</w:t>
      </w:r>
      <w:r>
        <w:rPr>
          <w:rFonts w:ascii="仿宋" w:eastAsia="仿宋" w:hAnsi="仿宋" w:cs="Times New Roman"/>
          <w:sz w:val="32"/>
          <w:szCs w:val="32"/>
        </w:rPr>
        <w:t>4</w:t>
      </w:r>
      <w:r>
        <w:rPr>
          <w:rFonts w:ascii="仿宋" w:eastAsia="仿宋" w:hAnsi="仿宋" w:cs="Times New Roman"/>
          <w:sz w:val="32"/>
          <w:szCs w:val="32"/>
        </w:rPr>
        <w:t>月，中共中央办公厅</w:t>
      </w:r>
      <w:r>
        <w:rPr>
          <w:rFonts w:ascii="仿宋" w:eastAsia="仿宋" w:hAnsi="仿宋" w:cs="Times New Roman"/>
          <w:sz w:val="32"/>
          <w:szCs w:val="32"/>
        </w:rPr>
        <w:t xml:space="preserve"> </w:t>
      </w:r>
      <w:r>
        <w:rPr>
          <w:rFonts w:ascii="仿宋" w:eastAsia="仿宋" w:hAnsi="仿宋" w:cs="Times New Roman" w:hint="eastAsia"/>
          <w:sz w:val="32"/>
          <w:szCs w:val="32"/>
        </w:rPr>
        <w:t>国务院办公厅印发《关于统筹推进自然资源资产产权制度改革的指导意见》，提出要平等保护各类自然资源资产产权主体合法权益。存量用地是自然资源的重要组成部分，保护存量用地及地上的建构筑物权益既是落实国家治理新要求的重要举措，也是推动存量低效用地再开发的重要基础。基于这一背景，本办法创新了权益容积的概念。权益容积是对项目范围内不动产权益的补偿，具体计算公式如下：</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权益容积</w:t>
      </w:r>
      <w:r>
        <w:rPr>
          <w:rFonts w:ascii="仿宋" w:eastAsia="仿宋" w:hAnsi="仿宋" w:cs="Times New Roman"/>
          <w:sz w:val="32"/>
          <w:szCs w:val="32"/>
        </w:rPr>
        <w:t xml:space="preserve"> </w:t>
      </w:r>
      <w:bookmarkStart w:id="1" w:name="_Hlk83910041"/>
      <w:r>
        <w:rPr>
          <w:rFonts w:ascii="仿宋" w:eastAsia="仿宋" w:hAnsi="仿宋" w:cs="Times New Roman"/>
          <w:sz w:val="32"/>
          <w:szCs w:val="32"/>
        </w:rPr>
        <w:t>=</w:t>
      </w:r>
      <w:r>
        <w:rPr>
          <w:rFonts w:ascii="仿宋" w:eastAsia="仿宋" w:hAnsi="仿宋" w:cs="Times New Roman"/>
          <w:sz w:val="32"/>
          <w:szCs w:val="32"/>
        </w:rPr>
        <w:t>（土地权益修正系数</w:t>
      </w:r>
      <w:r>
        <w:rPr>
          <w:rFonts w:ascii="仿宋" w:eastAsia="仿宋" w:hAnsi="仿宋" w:cs="Times New Roman"/>
          <w:sz w:val="32"/>
          <w:szCs w:val="32"/>
        </w:rPr>
        <w:t>+</w:t>
      </w:r>
      <w:r>
        <w:rPr>
          <w:rFonts w:ascii="仿宋" w:eastAsia="仿宋" w:hAnsi="仿宋" w:cs="Times New Roman"/>
          <w:sz w:val="32"/>
          <w:szCs w:val="32"/>
        </w:rPr>
        <w:t>建筑权益修正系数）</w:t>
      </w:r>
      <w:r>
        <w:rPr>
          <w:rFonts w:ascii="仿宋" w:eastAsia="仿宋" w:hAnsi="仿宋" w:cs="Times New Roman"/>
          <w:sz w:val="32"/>
          <w:szCs w:val="32"/>
        </w:rPr>
        <w:t>×</w:t>
      </w:r>
      <w:r>
        <w:rPr>
          <w:rFonts w:ascii="仿宋" w:eastAsia="仿宋" w:hAnsi="仿宋" w:cs="Times New Roman"/>
          <w:sz w:val="32"/>
          <w:szCs w:val="32"/>
        </w:rPr>
        <w:t>土地面积</w:t>
      </w:r>
      <w:r>
        <w:rPr>
          <w:rFonts w:ascii="仿宋" w:eastAsia="仿宋" w:hAnsi="仿宋" w:cs="Times New Roman"/>
          <w:sz w:val="32"/>
          <w:szCs w:val="32"/>
        </w:rPr>
        <w:t>×</w:t>
      </w:r>
      <w:r>
        <w:rPr>
          <w:rFonts w:ascii="仿宋" w:eastAsia="仿宋" w:hAnsi="仿宋" w:cs="Times New Roman"/>
          <w:sz w:val="32"/>
          <w:szCs w:val="32"/>
        </w:rPr>
        <w:t>密度分区基准容积率</w:t>
      </w:r>
      <w:r>
        <w:rPr>
          <w:rFonts w:ascii="仿宋" w:eastAsia="仿宋" w:hAnsi="仿宋" w:cs="Times New Roman"/>
          <w:sz w:val="32"/>
          <w:szCs w:val="32"/>
        </w:rPr>
        <w:t>×</w:t>
      </w:r>
      <w:r>
        <w:rPr>
          <w:rFonts w:ascii="仿宋" w:eastAsia="仿宋" w:hAnsi="仿宋" w:cs="Times New Roman"/>
          <w:sz w:val="32"/>
          <w:szCs w:val="32"/>
        </w:rPr>
        <w:t>留用土地功能</w:t>
      </w:r>
      <w:r>
        <w:rPr>
          <w:rFonts w:ascii="仿宋" w:eastAsia="仿宋" w:hAnsi="仿宋" w:cs="Times New Roman" w:hint="eastAsia"/>
          <w:sz w:val="32"/>
          <w:szCs w:val="32"/>
        </w:rPr>
        <w:t>修正</w:t>
      </w:r>
      <w:r>
        <w:rPr>
          <w:rFonts w:ascii="仿宋" w:eastAsia="仿宋" w:hAnsi="仿宋" w:cs="Times New Roman"/>
          <w:sz w:val="32"/>
          <w:szCs w:val="32"/>
        </w:rPr>
        <w:t>系数</w:t>
      </w:r>
      <w:bookmarkEnd w:id="1"/>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土地权益修正系数体现土地产权条件的差别。土地权益修正</w:t>
      </w:r>
      <w:r>
        <w:rPr>
          <w:rFonts w:ascii="仿宋" w:eastAsia="仿宋" w:hAnsi="仿宋" w:cs="Times New Roman" w:hint="eastAsia"/>
          <w:sz w:val="32"/>
          <w:szCs w:val="32"/>
        </w:rPr>
        <w:t>系数根据原农村集体经济组织继受单位合法用地、国有出让用地、已征未完善出让手续、未完善征（转）地补偿手续用地等设计不同的土地产权系数。土地权益修正系数的取值主要考虑了和现行政策的衔接，如对于非农建设用地中工商用地按照</w:t>
      </w:r>
      <w:r>
        <w:rPr>
          <w:rFonts w:ascii="仿宋" w:eastAsia="仿宋" w:hAnsi="仿宋" w:cs="Times New Roman"/>
          <w:sz w:val="32"/>
          <w:szCs w:val="32"/>
        </w:rPr>
        <w:t>65%</w:t>
      </w:r>
      <w:r>
        <w:rPr>
          <w:rFonts w:ascii="仿宋" w:eastAsia="仿宋" w:hAnsi="仿宋" w:cs="Times New Roman" w:hint="eastAsia"/>
          <w:sz w:val="32"/>
          <w:szCs w:val="32"/>
        </w:rPr>
        <w:t>、工业用地按照</w:t>
      </w:r>
      <w:r>
        <w:rPr>
          <w:rFonts w:ascii="仿宋" w:eastAsia="仿宋" w:hAnsi="仿宋" w:cs="Times New Roman"/>
          <w:sz w:val="32"/>
          <w:szCs w:val="32"/>
        </w:rPr>
        <w:t>30%</w:t>
      </w:r>
      <w:r>
        <w:rPr>
          <w:rFonts w:ascii="仿宋" w:eastAsia="仿宋" w:hAnsi="仿宋" w:cs="Times New Roman" w:hint="eastAsia"/>
          <w:sz w:val="32"/>
          <w:szCs w:val="32"/>
        </w:rPr>
        <w:t>系数核算，主要考虑了与《深圳市原农村集体经济组织非农建设用地和征地返还用地土地使用权交易若干规定》（深府〔</w:t>
      </w:r>
      <w:r>
        <w:rPr>
          <w:rFonts w:ascii="仿宋" w:eastAsia="仿宋" w:hAnsi="仿宋" w:cs="Times New Roman"/>
          <w:sz w:val="32"/>
          <w:szCs w:val="32"/>
        </w:rPr>
        <w:t>2011</w:t>
      </w:r>
      <w:r>
        <w:rPr>
          <w:rFonts w:ascii="仿宋" w:eastAsia="仿宋" w:hAnsi="仿宋" w:cs="Times New Roman" w:hint="eastAsia"/>
          <w:sz w:val="32"/>
          <w:szCs w:val="32"/>
        </w:rPr>
        <w:t>〕</w:t>
      </w:r>
      <w:r>
        <w:rPr>
          <w:rFonts w:ascii="仿宋" w:eastAsia="仿宋" w:hAnsi="仿宋" w:cs="Times New Roman"/>
          <w:sz w:val="32"/>
          <w:szCs w:val="32"/>
        </w:rPr>
        <w:t>198</w:t>
      </w:r>
      <w:r>
        <w:rPr>
          <w:rFonts w:ascii="仿宋" w:eastAsia="仿宋" w:hAnsi="仿宋" w:cs="Times New Roman"/>
          <w:sz w:val="32"/>
          <w:szCs w:val="32"/>
        </w:rPr>
        <w:t>号）、《关于征地安置补偿和土地置换的若干规定》（深府</w:t>
      </w:r>
      <w:r>
        <w:rPr>
          <w:rFonts w:ascii="仿宋" w:eastAsia="仿宋" w:hAnsi="仿宋" w:cs="Times New Roman" w:hint="eastAsia"/>
          <w:sz w:val="32"/>
          <w:szCs w:val="32"/>
        </w:rPr>
        <w:t>〔</w:t>
      </w:r>
      <w:r>
        <w:rPr>
          <w:rFonts w:ascii="仿宋" w:eastAsia="仿宋" w:hAnsi="仿宋" w:cs="Times New Roman"/>
          <w:sz w:val="32"/>
          <w:szCs w:val="32"/>
        </w:rPr>
        <w:t>2015</w:t>
      </w:r>
      <w:r>
        <w:rPr>
          <w:rFonts w:ascii="仿宋" w:eastAsia="仿宋" w:hAnsi="仿宋" w:cs="Times New Roman" w:hint="eastAsia"/>
          <w:sz w:val="32"/>
          <w:szCs w:val="32"/>
        </w:rPr>
        <w:t>〕</w:t>
      </w:r>
      <w:r>
        <w:rPr>
          <w:rFonts w:ascii="仿宋" w:eastAsia="仿宋" w:hAnsi="仿宋" w:cs="Times New Roman"/>
          <w:sz w:val="32"/>
          <w:szCs w:val="32"/>
        </w:rPr>
        <w:t>81</w:t>
      </w:r>
      <w:r>
        <w:rPr>
          <w:rFonts w:ascii="仿宋" w:eastAsia="仿宋" w:hAnsi="仿宋" w:cs="Times New Roman" w:hint="eastAsia"/>
          <w:sz w:val="32"/>
          <w:szCs w:val="32"/>
        </w:rPr>
        <w:t>号）</w:t>
      </w:r>
      <w:r>
        <w:rPr>
          <w:rFonts w:ascii="仿宋" w:eastAsia="仿宋" w:hAnsi="仿宋" w:cs="Times New Roman" w:hint="eastAsia"/>
          <w:sz w:val="32"/>
          <w:szCs w:val="32"/>
        </w:rPr>
        <w:lastRenderedPageBreak/>
        <w:t>等文件的衔接，</w:t>
      </w:r>
      <w:r>
        <w:rPr>
          <w:rFonts w:ascii="仿宋" w:eastAsia="仿宋" w:hAnsi="仿宋" w:cs="Times New Roman"/>
          <w:sz w:val="32"/>
          <w:szCs w:val="32"/>
        </w:rPr>
        <w:t>未完善</w:t>
      </w:r>
      <w:r>
        <w:rPr>
          <w:rFonts w:ascii="仿宋" w:eastAsia="仿宋" w:hAnsi="仿宋" w:cs="Times New Roman" w:hint="eastAsia"/>
          <w:sz w:val="32"/>
          <w:szCs w:val="32"/>
        </w:rPr>
        <w:t>征（转）地补偿手续用地按照</w:t>
      </w:r>
      <w:r>
        <w:rPr>
          <w:rFonts w:ascii="仿宋" w:eastAsia="仿宋" w:hAnsi="仿宋" w:cs="Times New Roman"/>
          <w:sz w:val="32"/>
          <w:szCs w:val="32"/>
        </w:rPr>
        <w:t>20%</w:t>
      </w:r>
      <w:r>
        <w:rPr>
          <w:rFonts w:ascii="仿宋" w:eastAsia="仿宋" w:hAnsi="仿宋" w:cs="Times New Roman" w:hint="eastAsia"/>
          <w:sz w:val="32"/>
          <w:szCs w:val="32"/>
        </w:rPr>
        <w:t>系数核算，主要考虑了和“</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sz w:val="32"/>
          <w:szCs w:val="32"/>
        </w:rPr>
        <w:t>的衔接</w:t>
      </w:r>
      <w:r>
        <w:rPr>
          <w:rFonts w:ascii="仿宋" w:eastAsia="仿宋" w:hAnsi="仿宋" w:cs="Times New Roman" w:hint="eastAsia"/>
          <w:sz w:val="32"/>
          <w:szCs w:val="32"/>
        </w:rPr>
        <w:t>。此外，对于国有已出让用地，考虑到土地剩余年期的差异，按照现行《深圳市地价测算规则》</w:t>
      </w:r>
      <w:r>
        <w:rPr>
          <w:rFonts w:ascii="仿宋" w:eastAsia="仿宋" w:hAnsi="仿宋" w:cs="Times New Roman"/>
          <w:sz w:val="32"/>
          <w:szCs w:val="32"/>
        </w:rPr>
        <w:t>进行年期系数修正。</w:t>
      </w:r>
      <w:r>
        <w:rPr>
          <w:rFonts w:ascii="仿宋" w:eastAsia="仿宋" w:hAnsi="仿宋" w:cs="Times New Roman" w:hint="eastAsia"/>
          <w:sz w:val="32"/>
          <w:szCs w:val="32"/>
        </w:rPr>
        <w:t>项目范围内包含多种用地类型时，土地权益修正系数在各类用地土地权益修正系数的基础上结合用地占比进行加权平均计算。</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建筑权益修正系数体现现状建筑权益的差异，结合开发强度修正系数和</w:t>
      </w:r>
      <w:r>
        <w:rPr>
          <w:rFonts w:ascii="仿宋" w:eastAsia="仿宋" w:hAnsi="仿宋" w:cs="Times New Roman"/>
          <w:sz w:val="32"/>
          <w:szCs w:val="32"/>
        </w:rPr>
        <w:t>建筑性质修正系数确定</w:t>
      </w:r>
      <w:r>
        <w:rPr>
          <w:rFonts w:ascii="仿宋" w:eastAsia="仿宋" w:hAnsi="仿宋" w:cs="Times New Roman" w:hint="eastAsia"/>
          <w:sz w:val="32"/>
          <w:szCs w:val="32"/>
        </w:rPr>
        <w:t>。其中开发强度修正系数主要体现项目范围内拆除建筑数量，反映拆除难度大小；</w:t>
      </w:r>
      <w:r>
        <w:rPr>
          <w:rFonts w:ascii="仿宋" w:eastAsia="仿宋" w:hAnsi="仿宋" w:cs="Times New Roman"/>
          <w:sz w:val="32"/>
          <w:szCs w:val="32"/>
        </w:rPr>
        <w:t>建筑性质修正系数主要考虑</w:t>
      </w:r>
      <w:r>
        <w:rPr>
          <w:rFonts w:ascii="仿宋" w:eastAsia="仿宋" w:hAnsi="仿宋" w:cs="Times New Roman" w:hint="eastAsia"/>
          <w:sz w:val="32"/>
          <w:szCs w:val="32"/>
        </w:rPr>
        <w:t>项目范围内拆除建筑类型，反映</w:t>
      </w:r>
      <w:proofErr w:type="gramStart"/>
      <w:r>
        <w:rPr>
          <w:rFonts w:ascii="仿宋" w:eastAsia="仿宋" w:hAnsi="仿宋" w:cs="Times New Roman" w:hint="eastAsia"/>
          <w:sz w:val="32"/>
          <w:szCs w:val="32"/>
        </w:rPr>
        <w:t>拆赔标准</w:t>
      </w:r>
      <w:proofErr w:type="gramEnd"/>
      <w:r>
        <w:rPr>
          <w:rFonts w:ascii="仿宋" w:eastAsia="仿宋" w:hAnsi="仿宋" w:cs="Times New Roman" w:hint="eastAsia"/>
          <w:sz w:val="32"/>
          <w:szCs w:val="32"/>
        </w:rPr>
        <w:t>差异。项目范围内包含多个地块、多种建筑类型时，开发强度修正系数根据项目实施范围内现状容积率取值，建筑性质修正系数结合各功能建筑面积占比进行加权平均计算。</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土地面积是指纳入权益容积计算的土地面积。其中，国有已出让用地是指不动产权证书约定的土地面积，未取得不动产权证书的，按土地使用权出让合同约定的土地面积确定；非农建设用地、征地返还用地是</w:t>
      </w:r>
      <w:proofErr w:type="gramStart"/>
      <w:r>
        <w:rPr>
          <w:rFonts w:ascii="仿宋" w:eastAsia="仿宋" w:hAnsi="仿宋" w:cs="Times New Roman" w:hint="eastAsia"/>
          <w:sz w:val="32"/>
          <w:szCs w:val="32"/>
        </w:rPr>
        <w:t>指相关</w:t>
      </w:r>
      <w:proofErr w:type="gramEnd"/>
      <w:r>
        <w:rPr>
          <w:rFonts w:ascii="仿宋" w:eastAsia="仿宋" w:hAnsi="仿宋" w:cs="Times New Roman" w:hint="eastAsia"/>
          <w:sz w:val="32"/>
          <w:szCs w:val="32"/>
        </w:rPr>
        <w:t>批复约定的土地面积；旧屋村用地是指旧屋村范围认定批复认定的土地面积；已征未完善出让手续用地和未完善征（转）地补偿手续用地是指项目实施范</w:t>
      </w:r>
      <w:r>
        <w:rPr>
          <w:rFonts w:ascii="仿宋" w:eastAsia="仿宋" w:hAnsi="仿宋" w:cs="Times New Roman" w:hint="eastAsia"/>
          <w:sz w:val="32"/>
          <w:szCs w:val="32"/>
        </w:rPr>
        <w:t>围内土地整备规划建设用地面积。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密度分区</w:t>
      </w:r>
      <w:r>
        <w:rPr>
          <w:rFonts w:ascii="仿宋" w:eastAsia="仿宋" w:hAnsi="仿宋" w:cs="Times New Roman"/>
          <w:sz w:val="32"/>
          <w:szCs w:val="32"/>
        </w:rPr>
        <w:t>基准容积率</w:t>
      </w:r>
      <w:r>
        <w:rPr>
          <w:rFonts w:ascii="仿宋" w:eastAsia="仿宋" w:hAnsi="仿宋" w:cs="Arial" w:hint="eastAsia"/>
          <w:sz w:val="32"/>
          <w:szCs w:val="32"/>
        </w:rPr>
        <w:t>按照项目所在位置对应《深圳城市</w:t>
      </w:r>
      <w:r>
        <w:rPr>
          <w:rFonts w:ascii="仿宋" w:eastAsia="仿宋" w:hAnsi="仿宋" w:cs="Arial" w:hint="eastAsia"/>
          <w:sz w:val="32"/>
          <w:szCs w:val="32"/>
        </w:rPr>
        <w:lastRenderedPageBreak/>
        <w:t>规划标准与准则》中居住用地密度分区的基准容积率取值</w:t>
      </w:r>
      <w:r>
        <w:rPr>
          <w:rFonts w:ascii="仿宋" w:eastAsia="仿宋" w:hAnsi="仿宋" w:cs="Times New Roman" w:hint="eastAsia"/>
          <w:sz w:val="32"/>
          <w:szCs w:val="32"/>
        </w:rPr>
        <w:t>。位于密度分区未覆盖区域的项目，位于一般地区的原则上按照相邻片区同等密度分区确定，临近生态敏感地区的原则上应比相邻密度分区下降一级确定。</w:t>
      </w:r>
      <w:r>
        <w:rPr>
          <w:rFonts w:ascii="仿宋" w:eastAsia="仿宋" w:hAnsi="仿宋" w:cs="Arial" w:hint="eastAsia"/>
          <w:sz w:val="32"/>
          <w:szCs w:val="32"/>
        </w:rPr>
        <w:t>项目位置涉及多个密度分区的，按照加权平均进行计算。</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留用土地功能修正系数是为了促进不同功能留用土地补偿价值平衡而设计的参数，功能价值高的留用土地其修正系数低、权益容积少，功能价值低的留用土地其修正系数高、权益容积多。通过增加该修正系数，确保即使留</w:t>
      </w:r>
      <w:r>
        <w:rPr>
          <w:rFonts w:ascii="仿宋" w:eastAsia="仿宋" w:hAnsi="仿宋" w:cs="Times New Roman" w:hint="eastAsia"/>
          <w:sz w:val="32"/>
          <w:szCs w:val="32"/>
        </w:rPr>
        <w:t>用土地功能存在差别，权益容积总价值是相当的。当权益容积为单一功能时，按照相应功能的修正系数直接测算容积；当留用土地权益包含多种功能时，还需结合各功能的留用土地功能修正系数取值比例测算对应的容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假定一宗留用土地权益容积拟安排商品住房、共有产权住房、普通工业等功能，各功能留用土地功能修正系数的取值比例分别为</w:t>
      </w:r>
      <w:r>
        <w:rPr>
          <w:rFonts w:ascii="仿宋" w:eastAsia="仿宋" w:hAnsi="仿宋" w:cs="Times New Roman"/>
          <w:sz w:val="32"/>
          <w:szCs w:val="32"/>
        </w:rPr>
        <w:t>k1</w:t>
      </w:r>
      <w:r>
        <w:rPr>
          <w:rFonts w:ascii="仿宋" w:eastAsia="仿宋" w:hAnsi="仿宋" w:cs="Times New Roman" w:hint="eastAsia"/>
          <w:sz w:val="32"/>
          <w:szCs w:val="32"/>
        </w:rPr>
        <w:t>、</w:t>
      </w:r>
      <w:r>
        <w:rPr>
          <w:rFonts w:ascii="仿宋" w:eastAsia="仿宋" w:hAnsi="仿宋" w:cs="Times New Roman"/>
          <w:sz w:val="32"/>
          <w:szCs w:val="32"/>
        </w:rPr>
        <w:t>k2</w:t>
      </w:r>
      <w:r>
        <w:rPr>
          <w:rFonts w:ascii="仿宋" w:eastAsia="仿宋" w:hAnsi="仿宋" w:cs="Times New Roman" w:hint="eastAsia"/>
          <w:sz w:val="32"/>
          <w:szCs w:val="32"/>
        </w:rPr>
        <w:t>、</w:t>
      </w:r>
      <w:r>
        <w:rPr>
          <w:rFonts w:ascii="仿宋" w:eastAsia="仿宋" w:hAnsi="仿宋" w:cs="Times New Roman"/>
          <w:sz w:val="32"/>
          <w:szCs w:val="32"/>
        </w:rPr>
        <w:t>k3</w:t>
      </w:r>
      <w:r>
        <w:rPr>
          <w:rFonts w:ascii="仿宋" w:eastAsia="仿宋" w:hAnsi="仿宋" w:cs="Times New Roman" w:hint="eastAsia"/>
          <w:sz w:val="32"/>
          <w:szCs w:val="32"/>
        </w:rPr>
        <w:t>。本办法约定留用土地优先安排以居住为主导的功能，其中共有</w:t>
      </w:r>
      <w:r>
        <w:rPr>
          <w:rFonts w:ascii="仿宋" w:eastAsia="仿宋" w:hAnsi="仿宋" w:cs="Times New Roman"/>
          <w:sz w:val="32"/>
          <w:szCs w:val="32"/>
        </w:rPr>
        <w:t>产权住房</w:t>
      </w:r>
      <w:r>
        <w:rPr>
          <w:rFonts w:ascii="仿宋" w:eastAsia="仿宋" w:hAnsi="仿宋" w:cs="Times New Roman" w:hint="eastAsia"/>
          <w:sz w:val="32"/>
          <w:szCs w:val="32"/>
        </w:rPr>
        <w:t>不低于权益容积中居住部分的</w:t>
      </w:r>
      <w:r>
        <w:rPr>
          <w:rFonts w:ascii="仿宋" w:eastAsia="仿宋" w:hAnsi="仿宋" w:cs="Times New Roman"/>
          <w:sz w:val="32"/>
          <w:szCs w:val="32"/>
        </w:rPr>
        <w:t>20%</w:t>
      </w:r>
      <w:r>
        <w:rPr>
          <w:rFonts w:ascii="仿宋" w:eastAsia="仿宋" w:hAnsi="仿宋" w:cs="Times New Roman" w:hint="eastAsia"/>
          <w:sz w:val="32"/>
          <w:szCs w:val="32"/>
        </w:rPr>
        <w:t>；确需安排工业功能的，工业部分不超过权益容积的</w:t>
      </w:r>
      <w:r>
        <w:rPr>
          <w:rFonts w:ascii="仿宋" w:eastAsia="仿宋" w:hAnsi="仿宋" w:cs="Times New Roman"/>
          <w:sz w:val="32"/>
          <w:szCs w:val="32"/>
        </w:rPr>
        <w:t>30%</w:t>
      </w:r>
      <w:r>
        <w:rPr>
          <w:rFonts w:ascii="仿宋" w:eastAsia="仿宋" w:hAnsi="仿宋" w:cs="Times New Roman"/>
          <w:sz w:val="32"/>
          <w:szCs w:val="32"/>
        </w:rPr>
        <w:t>。</w:t>
      </w:r>
      <w:r>
        <w:rPr>
          <w:rFonts w:ascii="仿宋" w:eastAsia="仿宋" w:hAnsi="仿宋" w:cs="Times New Roman" w:hint="eastAsia"/>
          <w:sz w:val="32"/>
          <w:szCs w:val="32"/>
        </w:rPr>
        <w:t>因此各功能留用土地功能修正系数的取值比例需满足以下条件：</w:t>
      </w:r>
    </w:p>
    <w:p w:rsidR="00E35C75" w:rsidRDefault="00E35C75">
      <w:pPr>
        <w:ind w:firstLineChars="200" w:firstLine="640"/>
        <w:rPr>
          <w:rFonts w:ascii="仿宋" w:eastAsia="仿宋" w:hAnsi="仿宋" w:cs="Times New Roman"/>
          <w:sz w:val="32"/>
          <w:szCs w:val="32"/>
        </w:rPr>
      </w:pPr>
    </w:p>
    <w:p w:rsidR="00E35C75" w:rsidRDefault="00E35C75">
      <w:pPr>
        <w:ind w:firstLineChars="200" w:firstLine="640"/>
        <w:rPr>
          <w:rFonts w:ascii="仿宋" w:eastAsia="仿宋" w:hAnsi="仿宋" w:cs="Times New Roman"/>
          <w:sz w:val="32"/>
          <w:szCs w:val="32"/>
        </w:rPr>
      </w:pPr>
    </w:p>
    <w:p w:rsidR="00E35C75" w:rsidRDefault="003A0821">
      <w:pPr>
        <w:ind w:firstLineChars="200" w:firstLine="640"/>
        <w:rPr>
          <w:rFonts w:ascii="仿宋" w:eastAsia="仿宋" w:hAnsi="仿宋" w:cs="Times New Roman"/>
          <w:sz w:val="32"/>
          <w:szCs w:val="32"/>
        </w:rPr>
      </w:pPr>
      <m:oMathPara>
        <m:oMath>
          <m:r>
            <w:rPr>
              <w:rFonts w:ascii="Cambria Math" w:eastAsia="仿宋" w:hAnsi="Cambria Math" w:cs="Times New Roman"/>
              <w:sz w:val="32"/>
              <w:szCs w:val="32"/>
            </w:rPr>
            <w:lastRenderedPageBreak/>
            <m:t>k</m:t>
          </m:r>
          <m:r>
            <m:rPr>
              <m:sty m:val="p"/>
            </m:rPr>
            <w:rPr>
              <w:rFonts w:ascii="Cambria Math" w:eastAsia="仿宋" w:hAnsi="Cambria Math" w:cs="Times New Roman"/>
              <w:sz w:val="32"/>
              <w:szCs w:val="32"/>
            </w:rPr>
            <m:t>1+</m:t>
          </m:r>
          <m:r>
            <w:rPr>
              <w:rFonts w:ascii="Cambria Math" w:eastAsia="仿宋" w:hAnsi="Cambria Math" w:cs="Times New Roman"/>
              <w:sz w:val="32"/>
              <w:szCs w:val="32"/>
            </w:rPr>
            <m:t>k</m:t>
          </m:r>
          <m:r>
            <m:rPr>
              <m:sty m:val="p"/>
            </m:rPr>
            <w:rPr>
              <w:rFonts w:ascii="Cambria Math" w:eastAsia="仿宋" w:hAnsi="Cambria Math" w:cs="Times New Roman"/>
              <w:sz w:val="32"/>
              <w:szCs w:val="32"/>
            </w:rPr>
            <m:t>2+</m:t>
          </m:r>
          <m:r>
            <w:rPr>
              <w:rFonts w:ascii="Cambria Math" w:eastAsia="仿宋" w:hAnsi="Cambria Math" w:cs="Times New Roman"/>
              <w:sz w:val="32"/>
              <w:szCs w:val="32"/>
            </w:rPr>
            <m:t>k</m:t>
          </m:r>
          <m:r>
            <m:rPr>
              <m:sty m:val="p"/>
            </m:rPr>
            <w:rPr>
              <w:rFonts w:ascii="Cambria Math" w:eastAsia="仿宋" w:hAnsi="Cambria Math" w:cs="Times New Roman"/>
              <w:sz w:val="32"/>
              <w:szCs w:val="32"/>
            </w:rPr>
            <m:t>3=100%</m:t>
          </m:r>
        </m:oMath>
      </m:oMathPara>
    </w:p>
    <w:p w:rsidR="00E35C75" w:rsidRDefault="003A0821">
      <w:pPr>
        <w:ind w:firstLineChars="200" w:firstLine="640"/>
        <w:rPr>
          <w:rFonts w:ascii="仿宋" w:eastAsia="仿宋" w:hAnsi="仿宋" w:cs="Times New Roman"/>
          <w:sz w:val="32"/>
          <w:szCs w:val="32"/>
        </w:rPr>
      </w:pPr>
      <m:oMathPara>
        <m:oMath>
          <m:r>
            <m:rPr>
              <m:sty m:val="p"/>
            </m:rPr>
            <w:rPr>
              <w:rFonts w:ascii="Cambria Math" w:eastAsia="仿宋" w:hAnsi="Cambria Math" w:cs="Times New Roman"/>
              <w:sz w:val="32"/>
              <w:szCs w:val="32"/>
            </w:rPr>
            <m:t>1.5×</m:t>
          </m:r>
          <m:r>
            <w:rPr>
              <w:rFonts w:ascii="Cambria Math" w:eastAsia="仿宋" w:hAnsi="Cambria Math" w:cs="Times New Roman"/>
              <w:sz w:val="32"/>
              <w:szCs w:val="32"/>
            </w:rPr>
            <m:t>k</m:t>
          </m:r>
          <m:r>
            <m:rPr>
              <m:sty m:val="p"/>
            </m:rPr>
            <w:rPr>
              <w:rFonts w:ascii="Cambria Math" w:eastAsia="仿宋" w:hAnsi="Cambria Math" w:cs="Times New Roman"/>
              <w:sz w:val="32"/>
              <w:szCs w:val="32"/>
            </w:rPr>
            <m:t>2</m:t>
          </m:r>
          <m:r>
            <m:rPr>
              <m:sty m:val="p"/>
            </m:rPr>
            <w:rPr>
              <w:rFonts w:ascii="Cambria Math" w:eastAsia="仿宋" w:hAnsi="Cambria Math" w:cs="Times New Roman" w:hint="eastAsia"/>
              <w:sz w:val="32"/>
              <w:szCs w:val="32"/>
            </w:rPr>
            <m:t>≥</m:t>
          </m:r>
          <m:d>
            <m:dPr>
              <m:begChr m:val="（"/>
              <m:endChr m:val="）"/>
              <m:ctrlPr>
                <w:rPr>
                  <w:rFonts w:ascii="Cambria Math" w:eastAsia="仿宋" w:hAnsi="Cambria Math" w:cs="Times New Roman"/>
                  <w:sz w:val="32"/>
                  <w:szCs w:val="32"/>
                </w:rPr>
              </m:ctrlPr>
            </m:dPr>
            <m:e>
              <m:r>
                <m:rPr>
                  <m:sty m:val="p"/>
                </m:rPr>
                <w:rPr>
                  <w:rFonts w:ascii="Cambria Math" w:eastAsia="仿宋" w:hAnsi="Cambria Math" w:cs="Times New Roman"/>
                  <w:sz w:val="32"/>
                  <w:szCs w:val="32"/>
                </w:rPr>
                <m:t>0.6×</m:t>
              </m:r>
              <m:r>
                <w:rPr>
                  <w:rFonts w:ascii="Cambria Math" w:eastAsia="仿宋" w:hAnsi="Cambria Math" w:cs="Times New Roman"/>
                  <w:sz w:val="32"/>
                  <w:szCs w:val="32"/>
                </w:rPr>
                <m:t>k</m:t>
              </m:r>
              <m:r>
                <m:rPr>
                  <m:sty m:val="p"/>
                </m:rPr>
                <w:rPr>
                  <w:rFonts w:ascii="Cambria Math" w:eastAsia="仿宋" w:hAnsi="Cambria Math" w:cs="Times New Roman"/>
                  <w:sz w:val="32"/>
                  <w:szCs w:val="32"/>
                </w:rPr>
                <m:t>1+1.5×</m:t>
              </m:r>
              <m:r>
                <w:rPr>
                  <w:rFonts w:ascii="Cambria Math" w:eastAsia="仿宋" w:hAnsi="Cambria Math" w:cs="Times New Roman"/>
                  <w:sz w:val="32"/>
                  <w:szCs w:val="32"/>
                </w:rPr>
                <m:t>k</m:t>
              </m:r>
              <m:r>
                <m:rPr>
                  <m:sty m:val="p"/>
                </m:rPr>
                <w:rPr>
                  <w:rFonts w:ascii="Cambria Math" w:eastAsia="仿宋" w:hAnsi="Cambria Math" w:cs="Times New Roman"/>
                  <w:sz w:val="32"/>
                  <w:szCs w:val="32"/>
                </w:rPr>
                <m:t>2</m:t>
              </m:r>
            </m:e>
          </m:d>
          <m:r>
            <m:rPr>
              <m:sty m:val="p"/>
            </m:rPr>
            <w:rPr>
              <w:rFonts w:ascii="Cambria Math" w:eastAsia="仿宋" w:hAnsi="Cambria Math" w:cs="Times New Roman" w:hint="eastAsia"/>
              <w:sz w:val="32"/>
              <w:szCs w:val="32"/>
            </w:rPr>
            <m:t>×</m:t>
          </m:r>
          <m:r>
            <m:rPr>
              <m:sty m:val="p"/>
            </m:rPr>
            <w:rPr>
              <w:rFonts w:ascii="Cambria Math" w:eastAsia="仿宋" w:hAnsi="Cambria Math" w:cs="Times New Roman"/>
              <w:sz w:val="32"/>
              <w:szCs w:val="32"/>
            </w:rPr>
            <m:t>20</m:t>
          </m:r>
          <m:r>
            <m:rPr>
              <m:sty m:val="p"/>
            </m:rPr>
            <w:rPr>
              <w:rFonts w:ascii="Cambria Math" w:eastAsia="仿宋" w:hAnsi="Cambria Math" w:cs="Times New Roman" w:hint="eastAsia"/>
              <w:sz w:val="32"/>
              <w:szCs w:val="32"/>
            </w:rPr>
            <m:t>%</m:t>
          </m:r>
        </m:oMath>
      </m:oMathPara>
    </w:p>
    <w:p w:rsidR="00E35C75" w:rsidRDefault="003A0821">
      <w:pPr>
        <w:ind w:firstLineChars="200" w:firstLine="640"/>
        <w:rPr>
          <w:rFonts w:ascii="仿宋" w:eastAsia="仿宋" w:hAnsi="仿宋" w:cs="Times New Roman"/>
          <w:sz w:val="32"/>
          <w:szCs w:val="32"/>
        </w:rPr>
      </w:pPr>
      <m:oMath>
        <m:r>
          <m:rPr>
            <m:sty m:val="p"/>
          </m:rPr>
          <w:rPr>
            <w:rFonts w:ascii="Cambria Math" w:eastAsia="仿宋" w:hAnsi="Cambria Math" w:cs="Times New Roman"/>
            <w:sz w:val="32"/>
            <w:szCs w:val="32"/>
          </w:rPr>
          <m:t>1.0×</m:t>
        </m:r>
        <m:r>
          <w:rPr>
            <w:rFonts w:ascii="Cambria Math" w:eastAsia="仿宋" w:hAnsi="Cambria Math" w:cs="Times New Roman"/>
            <w:sz w:val="32"/>
            <w:szCs w:val="32"/>
          </w:rPr>
          <m:t>k</m:t>
        </m:r>
        <m:r>
          <m:rPr>
            <m:sty m:val="p"/>
          </m:rPr>
          <w:rPr>
            <w:rFonts w:ascii="Cambria Math" w:eastAsia="仿宋" w:hAnsi="Cambria Math" w:cs="Times New Roman"/>
            <w:sz w:val="32"/>
            <w:szCs w:val="32"/>
          </w:rPr>
          <m:t>3</m:t>
        </m:r>
        <m:r>
          <m:rPr>
            <m:sty m:val="p"/>
          </m:rPr>
          <w:rPr>
            <w:rFonts w:ascii="Cambria Math" w:eastAsia="仿宋" w:hAnsi="Cambria Math" w:cs="Times New Roman" w:hint="eastAsia"/>
            <w:sz w:val="32"/>
            <w:szCs w:val="32"/>
          </w:rPr>
          <m:t>≤</m:t>
        </m:r>
        <m:d>
          <m:dPr>
            <m:begChr m:val="（"/>
            <m:endChr m:val="）"/>
            <m:ctrlPr>
              <w:rPr>
                <w:rFonts w:ascii="Cambria Math" w:eastAsia="仿宋" w:hAnsi="Cambria Math" w:cs="Times New Roman"/>
                <w:sz w:val="32"/>
                <w:szCs w:val="32"/>
              </w:rPr>
            </m:ctrlPr>
          </m:dPr>
          <m:e>
            <m:r>
              <m:rPr>
                <m:sty m:val="p"/>
              </m:rPr>
              <w:rPr>
                <w:rFonts w:ascii="Cambria Math" w:eastAsia="仿宋" w:hAnsi="Cambria Math" w:cs="Times New Roman"/>
                <w:sz w:val="32"/>
                <w:szCs w:val="32"/>
              </w:rPr>
              <m:t>0.6×</m:t>
            </m:r>
            <m:r>
              <w:rPr>
                <w:rFonts w:ascii="Cambria Math" w:eastAsia="仿宋" w:hAnsi="Cambria Math" w:cs="Times New Roman"/>
                <w:sz w:val="32"/>
                <w:szCs w:val="32"/>
              </w:rPr>
              <m:t>k</m:t>
            </m:r>
            <m:r>
              <m:rPr>
                <m:sty m:val="p"/>
              </m:rPr>
              <w:rPr>
                <w:rFonts w:ascii="Cambria Math" w:eastAsia="仿宋" w:hAnsi="Cambria Math" w:cs="Times New Roman"/>
                <w:sz w:val="32"/>
                <w:szCs w:val="32"/>
              </w:rPr>
              <m:t>1+1.5×</m:t>
            </m:r>
            <m:r>
              <w:rPr>
                <w:rFonts w:ascii="Cambria Math" w:eastAsia="仿宋" w:hAnsi="Cambria Math" w:cs="Times New Roman"/>
                <w:sz w:val="32"/>
                <w:szCs w:val="32"/>
              </w:rPr>
              <m:t>k</m:t>
            </m:r>
            <m:r>
              <m:rPr>
                <m:sty m:val="p"/>
              </m:rPr>
              <w:rPr>
                <w:rFonts w:ascii="Cambria Math" w:eastAsia="仿宋" w:hAnsi="Cambria Math" w:cs="Times New Roman"/>
                <w:sz w:val="32"/>
                <w:szCs w:val="32"/>
              </w:rPr>
              <m:t>2+1×</m:t>
            </m:r>
            <m:r>
              <w:rPr>
                <w:rFonts w:ascii="Cambria Math" w:eastAsia="仿宋" w:hAnsi="Cambria Math" w:cs="Times New Roman"/>
                <w:sz w:val="32"/>
                <w:szCs w:val="32"/>
              </w:rPr>
              <m:t>k</m:t>
            </m:r>
            <m:r>
              <m:rPr>
                <m:sty m:val="p"/>
              </m:rPr>
              <w:rPr>
                <w:rFonts w:ascii="Cambria Math" w:eastAsia="仿宋" w:hAnsi="Cambria Math" w:cs="Times New Roman"/>
                <w:sz w:val="32"/>
                <w:szCs w:val="32"/>
              </w:rPr>
              <m:t>3</m:t>
            </m:r>
          </m:e>
        </m:d>
        <m:r>
          <m:rPr>
            <m:sty m:val="p"/>
          </m:rPr>
          <w:rPr>
            <w:rFonts w:ascii="Cambria Math" w:eastAsia="仿宋" w:hAnsi="Cambria Math" w:cs="Times New Roman" w:hint="eastAsia"/>
            <w:sz w:val="32"/>
            <w:szCs w:val="32"/>
          </w:rPr>
          <m:t>×</m:t>
        </m:r>
        <m:r>
          <m:rPr>
            <m:sty m:val="p"/>
          </m:rPr>
          <w:rPr>
            <w:rFonts w:ascii="Cambria Math" w:eastAsia="仿宋" w:hAnsi="Cambria Math" w:cs="Times New Roman"/>
            <w:sz w:val="32"/>
            <w:szCs w:val="32"/>
          </w:rPr>
          <m:t>3</m:t>
        </m:r>
      </m:oMath>
      <w:r>
        <w:rPr>
          <w:rFonts w:ascii="仿宋" w:eastAsia="仿宋" w:hAnsi="仿宋" w:cs="Times New Roman" w:hint="eastAsia"/>
          <w:sz w:val="32"/>
          <w:szCs w:val="32"/>
        </w:rPr>
        <w:t>0%</w:t>
      </w:r>
    </w:p>
    <w:p w:rsidR="00E35C75" w:rsidRDefault="003A0821">
      <w:pPr>
        <w:ind w:firstLineChars="200" w:firstLine="640"/>
        <w:jc w:val="left"/>
        <w:rPr>
          <w:rFonts w:ascii="仿宋" w:eastAsia="仿宋" w:hAnsi="仿宋" w:cs="Times New Roman"/>
          <w:sz w:val="32"/>
          <w:szCs w:val="32"/>
        </w:rPr>
      </w:pPr>
      <w:r>
        <w:rPr>
          <w:rFonts w:ascii="仿宋" w:eastAsia="仿宋" w:hAnsi="仿宋"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-1134745</wp:posOffset>
                </wp:positionV>
                <wp:extent cx="232410" cy="967105"/>
                <wp:effectExtent l="0" t="0" r="15240" b="24130"/>
                <wp:wrapNone/>
                <wp:docPr id="6" name="左大括号 6"/>
                <wp:cNvGraphicFramePr/>
                <a:graphic xmlns:a="http://schemas.openxmlformats.org/drawingml/2006/main">
                  <a:graphicData uri="http://schemas.microsoft.com/office/word/2010/wordprocessingShape">
                    <wps:wsp>
                      <wps:cNvSpPr/>
                      <wps:spPr>
                        <a:xfrm>
                          <a:off x="0" y="0"/>
                          <a:ext cx="232564" cy="966933"/>
                        </a:xfrm>
                        <a:prstGeom prst="leftBrace">
                          <a:avLst>
                            <a:gd name="adj1" fmla="val 8333"/>
                            <a:gd name="adj2" fmla="val 4662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5.65pt;margin-top:-89.35pt;height:76.15pt;width:18.3pt;z-index:251659264;v-text-anchor:middle;mso-width-relative:page;mso-height-relative:page;" filled="f" stroked="t" coordsize="21600,21600" o:gfxdata="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D8rU+u2gAAAAoBAAAPAAAAAAAAAAEAIAAAADgAAABkcnMvZG93bnJldi54bWxQ&#10;SwECFAAUAAAACACHTuJAvm9MpIoCAAANBQAADgAAAAAAAAABACAAAAA/AQAAZHJzL2Uyb0RvYy54&#10;bWxQSwUGAAAAAAYABgBZAQAAOwYAAAAA&#10;" adj="432,10072">
                <v:fill on="f" focussize="0,0"/>
                <v:stroke weight="0.5pt" color="#000000 [3213]" joinstyle="round"/>
                <v:imagedata o:title=""/>
                <o:lock v:ext="edit" aspectratio="f"/>
              </v:shape>
            </w:pict>
          </mc:Fallback>
        </mc:AlternateContent>
      </w:r>
      <w:r>
        <w:rPr>
          <w:rFonts w:ascii="MS Gothic" w:eastAsia="MS Gothic" w:hAnsi="MS Gothic" w:cs="MS Gothic"/>
          <w:sz w:val="32"/>
          <w:szCs w:val="32"/>
        </w:rPr>
        <w:t>‬</w:t>
      </w:r>
      <w:r>
        <w:rPr>
          <w:rFonts w:ascii="MS Gothic" w:eastAsia="MS Gothic" w:hAnsi="MS Gothic" w:cs="MS Gothic"/>
          <w:sz w:val="32"/>
          <w:szCs w:val="32"/>
        </w:rPr>
        <w:t>‬</w:t>
      </w:r>
      <w:r>
        <w:rPr>
          <w:rFonts w:ascii="仿宋" w:eastAsia="仿宋" w:hAnsi="仿宋" w:cs="Times New Roman"/>
          <w:sz w:val="32"/>
          <w:szCs w:val="32"/>
        </w:rPr>
        <w:t>下表展示了几种</w:t>
      </w:r>
      <w:r>
        <w:rPr>
          <w:rFonts w:ascii="仿宋" w:eastAsia="仿宋" w:hAnsi="仿宋" w:cs="Times New Roman" w:hint="eastAsia"/>
          <w:sz w:val="32"/>
          <w:szCs w:val="32"/>
        </w:rPr>
        <w:t>特定</w:t>
      </w:r>
      <w:r>
        <w:rPr>
          <w:rFonts w:ascii="仿宋" w:eastAsia="仿宋" w:hAnsi="仿宋" w:cs="Times New Roman"/>
          <w:sz w:val="32"/>
          <w:szCs w:val="32"/>
        </w:rPr>
        <w:t>情况下留用土地功能修正系数的取值比例</w:t>
      </w:r>
      <w:r>
        <w:rPr>
          <w:rFonts w:ascii="仿宋" w:eastAsia="仿宋" w:hAnsi="仿宋" w:cs="Times New Roman" w:hint="eastAsia"/>
          <w:sz w:val="32"/>
          <w:szCs w:val="32"/>
        </w:rPr>
        <w:t>。</w:t>
      </w:r>
      <w:r>
        <w:t>‬</w:t>
      </w:r>
      <w:r>
        <w:t>‬</w:t>
      </w:r>
      <w:r>
        <w:t>‬</w:t>
      </w:r>
      <w:r>
        <w:t>‬</w:t>
      </w:r>
    </w:p>
    <w:p w:rsidR="00E35C75" w:rsidRDefault="003A0821">
      <w:pPr>
        <w:pStyle w:val="a3"/>
        <w:jc w:val="center"/>
        <w:rPr>
          <w:rFonts w:ascii="仿宋" w:eastAsia="仿宋" w:hAnsi="仿宋" w:cs="Times New Roman"/>
          <w:sz w:val="32"/>
          <w:szCs w:val="32"/>
        </w:rPr>
      </w:pPr>
      <w:r>
        <w:rPr>
          <w:rFonts w:ascii="仿宋" w:eastAsia="仿宋" w:hAnsi="仿宋" w:cs="Times New Roman" w:hint="eastAsia"/>
          <w:sz w:val="32"/>
          <w:szCs w:val="32"/>
        </w:rPr>
        <w:t>表</w:t>
      </w:r>
      <w:r>
        <w:rPr>
          <w:rFonts w:ascii="仿宋" w:eastAsia="仿宋" w:hAnsi="仿宋" w:cs="Times New Roman" w:hint="eastAsia"/>
          <w:sz w:val="32"/>
          <w:szCs w:val="32"/>
        </w:rPr>
        <w:t xml:space="preserve"> </w:t>
      </w:r>
      <w:r>
        <w:rPr>
          <w:rFonts w:ascii="仿宋" w:eastAsia="仿宋" w:hAnsi="仿宋" w:cs="Times New Roman"/>
          <w:sz w:val="32"/>
          <w:szCs w:val="32"/>
        </w:rPr>
        <w:fldChar w:fldCharType="begin"/>
      </w:r>
      <w:r>
        <w:rPr>
          <w:rFonts w:ascii="仿宋" w:eastAsia="仿宋" w:hAnsi="仿宋" w:cs="Times New Roman"/>
          <w:sz w:val="32"/>
          <w:szCs w:val="32"/>
        </w:rPr>
        <w:instrText xml:space="preserve"> </w:instrText>
      </w:r>
      <w:r>
        <w:rPr>
          <w:rFonts w:ascii="仿宋" w:eastAsia="仿宋" w:hAnsi="仿宋" w:cs="Times New Roman" w:hint="eastAsia"/>
          <w:sz w:val="32"/>
          <w:szCs w:val="32"/>
        </w:rPr>
        <w:instrText xml:space="preserve">SEQ </w:instrText>
      </w:r>
      <w:r>
        <w:rPr>
          <w:rFonts w:ascii="仿宋" w:eastAsia="仿宋" w:hAnsi="仿宋" w:cs="Times New Roman" w:hint="eastAsia"/>
          <w:sz w:val="32"/>
          <w:szCs w:val="32"/>
        </w:rPr>
        <w:instrText>表</w:instrText>
      </w:r>
      <w:r>
        <w:rPr>
          <w:rFonts w:ascii="仿宋" w:eastAsia="仿宋" w:hAnsi="仿宋" w:cs="Times New Roman" w:hint="eastAsia"/>
          <w:sz w:val="32"/>
          <w:szCs w:val="32"/>
        </w:rPr>
        <w:instrText xml:space="preserve"> \* ARABIC</w:instrText>
      </w:r>
      <w:r>
        <w:rPr>
          <w:rFonts w:ascii="仿宋" w:eastAsia="仿宋" w:hAnsi="仿宋" w:cs="Times New Roman"/>
          <w:sz w:val="32"/>
          <w:szCs w:val="32"/>
        </w:rPr>
        <w:instrText xml:space="preserve"> </w:instrText>
      </w:r>
      <w:r>
        <w:rPr>
          <w:rFonts w:ascii="仿宋" w:eastAsia="仿宋" w:hAnsi="仿宋" w:cs="Times New Roman"/>
          <w:sz w:val="32"/>
          <w:szCs w:val="32"/>
        </w:rPr>
        <w:fldChar w:fldCharType="separate"/>
      </w:r>
      <w:r>
        <w:rPr>
          <w:rFonts w:ascii="仿宋" w:eastAsia="仿宋" w:hAnsi="仿宋" w:cs="Times New Roman"/>
          <w:sz w:val="32"/>
          <w:szCs w:val="32"/>
        </w:rPr>
        <w:t>1</w:t>
      </w:r>
      <w:r>
        <w:rPr>
          <w:rFonts w:ascii="仿宋" w:eastAsia="仿宋" w:hAnsi="仿宋" w:cs="Times New Roman"/>
          <w:sz w:val="32"/>
          <w:szCs w:val="32"/>
        </w:rPr>
        <w:fldChar w:fldCharType="end"/>
      </w:r>
      <w:r>
        <w:rPr>
          <w:rFonts w:ascii="仿宋" w:eastAsia="仿宋" w:hAnsi="仿宋" w:cs="Times New Roman"/>
          <w:sz w:val="32"/>
          <w:szCs w:val="32"/>
        </w:rPr>
        <w:t xml:space="preserve"> </w:t>
      </w:r>
      <w:r>
        <w:rPr>
          <w:rFonts w:ascii="仿宋" w:eastAsia="仿宋" w:hAnsi="仿宋" w:cs="Times New Roman"/>
          <w:sz w:val="32"/>
          <w:szCs w:val="32"/>
        </w:rPr>
        <w:t>几种</w:t>
      </w:r>
      <w:r>
        <w:rPr>
          <w:rFonts w:ascii="仿宋" w:eastAsia="仿宋" w:hAnsi="仿宋" w:cs="Times New Roman" w:hint="eastAsia"/>
          <w:sz w:val="32"/>
          <w:szCs w:val="32"/>
        </w:rPr>
        <w:t>特定</w:t>
      </w:r>
      <w:r>
        <w:rPr>
          <w:rFonts w:ascii="仿宋" w:eastAsia="仿宋" w:hAnsi="仿宋" w:cs="Times New Roman"/>
          <w:sz w:val="32"/>
          <w:szCs w:val="32"/>
        </w:rPr>
        <w:t>情况下</w:t>
      </w:r>
      <w:r>
        <w:rPr>
          <w:rFonts w:ascii="仿宋" w:eastAsia="仿宋" w:hAnsi="仿宋" w:cs="Times New Roman" w:hint="eastAsia"/>
          <w:sz w:val="32"/>
          <w:szCs w:val="32"/>
        </w:rPr>
        <w:t>留用土地功能修正系数的取值比例</w:t>
      </w:r>
    </w:p>
    <w:tbl>
      <w:tblPr>
        <w:tblStyle w:val="a8"/>
        <w:tblW w:w="10403" w:type="dxa"/>
        <w:jc w:val="center"/>
        <w:tblLook w:val="04A0" w:firstRow="1" w:lastRow="0" w:firstColumn="1" w:lastColumn="0" w:noHBand="0" w:noVBand="1"/>
      </w:tblPr>
      <w:tblGrid>
        <w:gridCol w:w="5882"/>
        <w:gridCol w:w="4521"/>
      </w:tblGrid>
      <w:tr w:rsidR="00E35C75">
        <w:trPr>
          <w:jc w:val="center"/>
        </w:trPr>
        <w:tc>
          <w:tcPr>
            <w:tcW w:w="5882"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权益容积功能及面积构成</w:t>
            </w:r>
          </w:p>
        </w:tc>
        <w:tc>
          <w:tcPr>
            <w:tcW w:w="4521"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留用土地功能修正系数的取值比例</w:t>
            </w:r>
          </w:p>
        </w:tc>
      </w:tr>
      <w:tr w:rsidR="00E35C75">
        <w:trPr>
          <w:jc w:val="center"/>
        </w:trPr>
        <w:tc>
          <w:tcPr>
            <w:tcW w:w="5882"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8</w:t>
            </w:r>
            <w:r>
              <w:rPr>
                <w:rFonts w:ascii="仿宋" w:eastAsia="仿宋" w:hAnsi="仿宋" w:cs="Times New Roman"/>
                <w:sz w:val="28"/>
                <w:szCs w:val="32"/>
              </w:rPr>
              <w:t>0</w:t>
            </w:r>
            <w:r>
              <w:rPr>
                <w:rFonts w:ascii="仿宋" w:eastAsia="仿宋" w:hAnsi="仿宋" w:cs="Times New Roman" w:hint="eastAsia"/>
                <w:sz w:val="28"/>
                <w:szCs w:val="32"/>
              </w:rPr>
              <w:t>%</w:t>
            </w:r>
            <w:r>
              <w:rPr>
                <w:rFonts w:ascii="仿宋" w:eastAsia="仿宋" w:hAnsi="仿宋" w:cs="Times New Roman" w:hint="eastAsia"/>
                <w:sz w:val="28"/>
                <w:szCs w:val="32"/>
              </w:rPr>
              <w:t>商品住房</w:t>
            </w:r>
            <w:r>
              <w:rPr>
                <w:rFonts w:ascii="仿宋" w:eastAsia="仿宋" w:hAnsi="仿宋" w:cs="Times New Roman" w:hint="eastAsia"/>
                <w:sz w:val="28"/>
                <w:szCs w:val="32"/>
              </w:rPr>
              <w:t>+</w:t>
            </w:r>
            <w:r>
              <w:rPr>
                <w:rFonts w:ascii="仿宋" w:eastAsia="仿宋" w:hAnsi="仿宋" w:cs="Times New Roman"/>
                <w:sz w:val="28"/>
                <w:szCs w:val="32"/>
              </w:rPr>
              <w:t>20</w:t>
            </w:r>
            <w:r>
              <w:rPr>
                <w:rFonts w:ascii="仿宋" w:eastAsia="仿宋" w:hAnsi="仿宋" w:cs="Times New Roman" w:hint="eastAsia"/>
                <w:sz w:val="28"/>
                <w:szCs w:val="32"/>
              </w:rPr>
              <w:t>%</w:t>
            </w:r>
            <w:r>
              <w:rPr>
                <w:rFonts w:ascii="仿宋" w:eastAsia="仿宋" w:hAnsi="仿宋" w:cs="Times New Roman" w:hint="eastAsia"/>
                <w:sz w:val="28"/>
                <w:szCs w:val="32"/>
              </w:rPr>
              <w:t>共有产权住房</w:t>
            </w:r>
          </w:p>
        </w:tc>
        <w:tc>
          <w:tcPr>
            <w:tcW w:w="4521"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K1=</w:t>
            </w:r>
            <w:r>
              <w:rPr>
                <w:rFonts w:ascii="仿宋" w:eastAsia="仿宋" w:hAnsi="仿宋" w:cs="Times New Roman"/>
                <w:sz w:val="28"/>
                <w:szCs w:val="32"/>
              </w:rPr>
              <w:t>0.91</w:t>
            </w:r>
            <w:r>
              <w:rPr>
                <w:rFonts w:ascii="仿宋" w:eastAsia="仿宋" w:hAnsi="仿宋" w:cs="Times New Roman" w:hint="eastAsia"/>
                <w:sz w:val="28"/>
                <w:szCs w:val="32"/>
              </w:rPr>
              <w:t>，</w:t>
            </w:r>
            <w:r>
              <w:rPr>
                <w:rFonts w:ascii="仿宋" w:eastAsia="仿宋" w:hAnsi="仿宋" w:cs="Times New Roman" w:hint="eastAsia"/>
                <w:sz w:val="28"/>
                <w:szCs w:val="32"/>
              </w:rPr>
              <w:t>K2=</w:t>
            </w:r>
            <w:r>
              <w:rPr>
                <w:rFonts w:ascii="仿宋" w:eastAsia="仿宋" w:hAnsi="仿宋" w:cs="Times New Roman"/>
                <w:sz w:val="28"/>
                <w:szCs w:val="32"/>
              </w:rPr>
              <w:t>0.09</w:t>
            </w:r>
          </w:p>
        </w:tc>
      </w:tr>
      <w:tr w:rsidR="00E35C75">
        <w:trPr>
          <w:jc w:val="center"/>
        </w:trPr>
        <w:tc>
          <w:tcPr>
            <w:tcW w:w="5882" w:type="dxa"/>
          </w:tcPr>
          <w:p w:rsidR="00E35C75" w:rsidRDefault="003A0821">
            <w:pPr>
              <w:jc w:val="center"/>
              <w:rPr>
                <w:rFonts w:ascii="仿宋" w:eastAsia="仿宋" w:hAnsi="仿宋" w:cs="Times New Roman"/>
                <w:sz w:val="28"/>
                <w:szCs w:val="32"/>
              </w:rPr>
            </w:pPr>
            <w:r>
              <w:rPr>
                <w:rFonts w:ascii="仿宋" w:eastAsia="仿宋" w:hAnsi="仿宋" w:cs="Times New Roman"/>
                <w:sz w:val="28"/>
                <w:szCs w:val="32"/>
              </w:rPr>
              <w:t>70</w:t>
            </w:r>
            <w:r>
              <w:rPr>
                <w:rFonts w:ascii="仿宋" w:eastAsia="仿宋" w:hAnsi="仿宋" w:cs="Times New Roman" w:hint="eastAsia"/>
                <w:sz w:val="28"/>
                <w:szCs w:val="32"/>
              </w:rPr>
              <w:t>%</w:t>
            </w:r>
            <w:r>
              <w:rPr>
                <w:rFonts w:ascii="仿宋" w:eastAsia="仿宋" w:hAnsi="仿宋" w:cs="Times New Roman" w:hint="eastAsia"/>
                <w:sz w:val="28"/>
                <w:szCs w:val="32"/>
              </w:rPr>
              <w:t>商品住房</w:t>
            </w:r>
            <w:r>
              <w:rPr>
                <w:rFonts w:ascii="仿宋" w:eastAsia="仿宋" w:hAnsi="仿宋" w:cs="Times New Roman" w:hint="eastAsia"/>
                <w:sz w:val="28"/>
                <w:szCs w:val="32"/>
              </w:rPr>
              <w:t>+</w:t>
            </w:r>
            <w:r>
              <w:rPr>
                <w:rFonts w:ascii="仿宋" w:eastAsia="仿宋" w:hAnsi="仿宋" w:cs="Times New Roman"/>
                <w:sz w:val="28"/>
                <w:szCs w:val="32"/>
              </w:rPr>
              <w:t>30</w:t>
            </w:r>
            <w:r>
              <w:rPr>
                <w:rFonts w:ascii="仿宋" w:eastAsia="仿宋" w:hAnsi="仿宋" w:cs="Times New Roman" w:hint="eastAsia"/>
                <w:sz w:val="28"/>
                <w:szCs w:val="32"/>
              </w:rPr>
              <w:t>%</w:t>
            </w:r>
            <w:r>
              <w:rPr>
                <w:rFonts w:ascii="仿宋" w:eastAsia="仿宋" w:hAnsi="仿宋" w:cs="Times New Roman" w:hint="eastAsia"/>
                <w:sz w:val="28"/>
                <w:szCs w:val="32"/>
              </w:rPr>
              <w:t>共有产权住房</w:t>
            </w:r>
          </w:p>
        </w:tc>
        <w:tc>
          <w:tcPr>
            <w:tcW w:w="4521"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K1=</w:t>
            </w:r>
            <w:r>
              <w:rPr>
                <w:rFonts w:ascii="仿宋" w:eastAsia="仿宋" w:hAnsi="仿宋" w:cs="Times New Roman"/>
                <w:sz w:val="28"/>
                <w:szCs w:val="32"/>
              </w:rPr>
              <w:t>0.85</w:t>
            </w:r>
            <w:r>
              <w:rPr>
                <w:rFonts w:ascii="仿宋" w:eastAsia="仿宋" w:hAnsi="仿宋" w:cs="Times New Roman" w:hint="eastAsia"/>
                <w:sz w:val="28"/>
                <w:szCs w:val="32"/>
              </w:rPr>
              <w:t>，</w:t>
            </w:r>
            <w:r>
              <w:rPr>
                <w:rFonts w:ascii="仿宋" w:eastAsia="仿宋" w:hAnsi="仿宋" w:cs="Times New Roman" w:hint="eastAsia"/>
                <w:sz w:val="28"/>
                <w:szCs w:val="32"/>
              </w:rPr>
              <w:t>K2=</w:t>
            </w:r>
            <w:r>
              <w:rPr>
                <w:rFonts w:ascii="仿宋" w:eastAsia="仿宋" w:hAnsi="仿宋" w:cs="Times New Roman"/>
                <w:sz w:val="28"/>
                <w:szCs w:val="32"/>
              </w:rPr>
              <w:t>0</w:t>
            </w:r>
            <w:r>
              <w:rPr>
                <w:rFonts w:ascii="仿宋" w:eastAsia="仿宋" w:hAnsi="仿宋" w:cs="Times New Roman" w:hint="eastAsia"/>
                <w:sz w:val="28"/>
                <w:szCs w:val="32"/>
              </w:rPr>
              <w:t>.15</w:t>
            </w:r>
          </w:p>
        </w:tc>
      </w:tr>
      <w:tr w:rsidR="00E35C75">
        <w:trPr>
          <w:jc w:val="center"/>
        </w:trPr>
        <w:tc>
          <w:tcPr>
            <w:tcW w:w="5882"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5</w:t>
            </w:r>
            <w:r>
              <w:rPr>
                <w:rFonts w:ascii="仿宋" w:eastAsia="仿宋" w:hAnsi="仿宋" w:cs="Times New Roman"/>
                <w:sz w:val="28"/>
                <w:szCs w:val="32"/>
              </w:rPr>
              <w:t>6</w:t>
            </w:r>
            <w:r>
              <w:rPr>
                <w:rFonts w:ascii="仿宋" w:eastAsia="仿宋" w:hAnsi="仿宋" w:cs="Times New Roman" w:hint="eastAsia"/>
                <w:sz w:val="28"/>
                <w:szCs w:val="32"/>
              </w:rPr>
              <w:t>%</w:t>
            </w:r>
            <w:r>
              <w:rPr>
                <w:rFonts w:ascii="仿宋" w:eastAsia="仿宋" w:hAnsi="仿宋" w:cs="Times New Roman" w:hint="eastAsia"/>
                <w:sz w:val="28"/>
                <w:szCs w:val="32"/>
              </w:rPr>
              <w:t>商品住房</w:t>
            </w:r>
            <w:r>
              <w:rPr>
                <w:rFonts w:ascii="仿宋" w:eastAsia="仿宋" w:hAnsi="仿宋" w:cs="Times New Roman" w:hint="eastAsia"/>
                <w:sz w:val="28"/>
                <w:szCs w:val="32"/>
              </w:rPr>
              <w:t>+</w:t>
            </w:r>
            <w:r>
              <w:rPr>
                <w:rFonts w:ascii="仿宋" w:eastAsia="仿宋" w:hAnsi="仿宋" w:cs="Times New Roman"/>
                <w:sz w:val="28"/>
                <w:szCs w:val="32"/>
              </w:rPr>
              <w:t>14</w:t>
            </w:r>
            <w:r>
              <w:rPr>
                <w:rFonts w:ascii="仿宋" w:eastAsia="仿宋" w:hAnsi="仿宋" w:cs="Times New Roman" w:hint="eastAsia"/>
                <w:sz w:val="28"/>
                <w:szCs w:val="32"/>
              </w:rPr>
              <w:t>%</w:t>
            </w:r>
            <w:r>
              <w:rPr>
                <w:rFonts w:ascii="仿宋" w:eastAsia="仿宋" w:hAnsi="仿宋" w:cs="Times New Roman" w:hint="eastAsia"/>
                <w:sz w:val="28"/>
                <w:szCs w:val="32"/>
              </w:rPr>
              <w:t>共有产权住房</w:t>
            </w:r>
            <w:r>
              <w:rPr>
                <w:rFonts w:ascii="仿宋" w:eastAsia="仿宋" w:hAnsi="仿宋" w:cs="Times New Roman" w:hint="eastAsia"/>
                <w:sz w:val="28"/>
                <w:szCs w:val="32"/>
              </w:rPr>
              <w:t>+</w:t>
            </w:r>
            <w:r>
              <w:rPr>
                <w:rFonts w:ascii="仿宋" w:eastAsia="仿宋" w:hAnsi="仿宋" w:cs="Times New Roman"/>
                <w:sz w:val="28"/>
                <w:szCs w:val="32"/>
              </w:rPr>
              <w:t>30</w:t>
            </w:r>
            <w:r>
              <w:rPr>
                <w:rFonts w:ascii="仿宋" w:eastAsia="仿宋" w:hAnsi="仿宋" w:cs="Times New Roman" w:hint="eastAsia"/>
                <w:sz w:val="28"/>
                <w:szCs w:val="32"/>
              </w:rPr>
              <w:t>%</w:t>
            </w:r>
            <w:r>
              <w:rPr>
                <w:rFonts w:ascii="仿宋" w:eastAsia="仿宋" w:hAnsi="仿宋" w:cs="Times New Roman" w:hint="eastAsia"/>
                <w:sz w:val="28"/>
                <w:szCs w:val="32"/>
              </w:rPr>
              <w:t>工业厂房</w:t>
            </w:r>
          </w:p>
        </w:tc>
        <w:tc>
          <w:tcPr>
            <w:tcW w:w="4521" w:type="dxa"/>
          </w:tcPr>
          <w:p w:rsidR="00E35C75" w:rsidRDefault="003A0821">
            <w:pPr>
              <w:jc w:val="center"/>
              <w:rPr>
                <w:rFonts w:ascii="仿宋" w:eastAsia="仿宋" w:hAnsi="仿宋" w:cs="Times New Roman"/>
                <w:sz w:val="28"/>
                <w:szCs w:val="32"/>
              </w:rPr>
            </w:pPr>
            <w:r>
              <w:rPr>
                <w:rFonts w:ascii="仿宋" w:eastAsia="仿宋" w:hAnsi="仿宋" w:cs="Times New Roman" w:hint="eastAsia"/>
                <w:sz w:val="28"/>
                <w:szCs w:val="32"/>
              </w:rPr>
              <w:t>K1=</w:t>
            </w:r>
            <w:r>
              <w:rPr>
                <w:rFonts w:ascii="仿宋" w:eastAsia="仿宋" w:hAnsi="仿宋" w:cs="Times New Roman"/>
                <w:sz w:val="28"/>
                <w:szCs w:val="32"/>
              </w:rPr>
              <w:t>0.70</w:t>
            </w:r>
            <w:r>
              <w:rPr>
                <w:rFonts w:ascii="仿宋" w:eastAsia="仿宋" w:hAnsi="仿宋" w:cs="Times New Roman" w:hint="eastAsia"/>
                <w:sz w:val="28"/>
                <w:szCs w:val="32"/>
              </w:rPr>
              <w:t>，</w:t>
            </w:r>
            <w:r>
              <w:rPr>
                <w:rFonts w:ascii="仿宋" w:eastAsia="仿宋" w:hAnsi="仿宋" w:cs="Times New Roman" w:hint="eastAsia"/>
                <w:sz w:val="28"/>
                <w:szCs w:val="32"/>
              </w:rPr>
              <w:t>K2=</w:t>
            </w:r>
            <w:r>
              <w:rPr>
                <w:rFonts w:ascii="仿宋" w:eastAsia="仿宋" w:hAnsi="仿宋" w:cs="Times New Roman"/>
                <w:sz w:val="28"/>
                <w:szCs w:val="32"/>
              </w:rPr>
              <w:t>0.07</w:t>
            </w:r>
            <w:r>
              <w:rPr>
                <w:rFonts w:ascii="仿宋" w:eastAsia="仿宋" w:hAnsi="仿宋" w:cs="Times New Roman" w:hint="eastAsia"/>
                <w:sz w:val="28"/>
                <w:szCs w:val="32"/>
              </w:rPr>
              <w:t>，</w:t>
            </w:r>
            <w:r>
              <w:rPr>
                <w:rFonts w:ascii="仿宋" w:eastAsia="仿宋" w:hAnsi="仿宋" w:cs="Times New Roman" w:hint="eastAsia"/>
                <w:sz w:val="28"/>
                <w:szCs w:val="32"/>
              </w:rPr>
              <w:t>K3=</w:t>
            </w:r>
            <w:r>
              <w:rPr>
                <w:rFonts w:ascii="仿宋" w:eastAsia="仿宋" w:hAnsi="仿宋" w:cs="Times New Roman"/>
                <w:sz w:val="28"/>
                <w:szCs w:val="32"/>
              </w:rPr>
              <w:t>0.23</w:t>
            </w:r>
          </w:p>
        </w:tc>
      </w:tr>
    </w:tbl>
    <w:p w:rsidR="00E35C75" w:rsidRDefault="00E35C75">
      <w:pPr>
        <w:rPr>
          <w:rFonts w:ascii="仿宋" w:eastAsia="仿宋" w:hAnsi="仿宋" w:cs="Times New Roman"/>
          <w:sz w:val="32"/>
          <w:szCs w:val="32"/>
        </w:rPr>
      </w:pP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b/>
          <w:sz w:val="32"/>
          <w:szCs w:val="32"/>
        </w:rPr>
        <w:t>2.</w:t>
      </w:r>
      <w:r>
        <w:rPr>
          <w:rFonts w:ascii="仿宋" w:eastAsia="仿宋" w:hAnsi="仿宋" w:cs="Times New Roman" w:hint="eastAsia"/>
          <w:b/>
          <w:sz w:val="32"/>
          <w:szCs w:val="32"/>
        </w:rPr>
        <w:t>配套容积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配套容积为留用土地中依据法定规划、《深圳市城市规划标准与准则》及相关规划等要求落实的附建式公共服务设施、交通设施及市政设施的建筑面积。</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b/>
          <w:sz w:val="32"/>
          <w:szCs w:val="32"/>
        </w:rPr>
        <w:t>3.</w:t>
      </w:r>
      <w:r>
        <w:rPr>
          <w:rFonts w:ascii="仿宋" w:eastAsia="仿宋" w:hAnsi="仿宋" w:cs="Times New Roman" w:hint="eastAsia"/>
          <w:b/>
          <w:sz w:val="32"/>
          <w:szCs w:val="32"/>
        </w:rPr>
        <w:t>共享容积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共享容积是指经规划研究，可在权益容积和配套容积的基础上增加的容积。</w:t>
      </w:r>
      <w:r>
        <w:rPr>
          <w:rFonts w:ascii="仿宋" w:eastAsia="仿宋" w:hAnsi="仿宋" w:cs="Times New Roman"/>
          <w:sz w:val="32"/>
          <w:szCs w:val="32"/>
        </w:rPr>
        <w:t>共享容积不超过权益容积的</w:t>
      </w:r>
      <w:r>
        <w:rPr>
          <w:rFonts w:ascii="仿宋" w:eastAsia="仿宋" w:hAnsi="仿宋" w:cs="Times New Roman"/>
          <w:sz w:val="32"/>
          <w:szCs w:val="32"/>
        </w:rPr>
        <w:t>20%</w:t>
      </w:r>
      <w:r>
        <w:rPr>
          <w:rFonts w:ascii="仿宋" w:eastAsia="仿宋" w:hAnsi="仿宋" w:cs="Times New Roman" w:hint="eastAsia"/>
          <w:sz w:val="32"/>
          <w:szCs w:val="32"/>
        </w:rPr>
        <w:t>，</w:t>
      </w:r>
      <w:r>
        <w:rPr>
          <w:rFonts w:ascii="仿宋" w:eastAsia="仿宋" w:hAnsi="仿宋" w:cs="Times New Roman"/>
          <w:sz w:val="32"/>
          <w:szCs w:val="32"/>
        </w:rPr>
        <w:t>并优先安排居住用途</w:t>
      </w:r>
      <w:r>
        <w:rPr>
          <w:rFonts w:ascii="仿宋" w:eastAsia="仿宋" w:hAnsi="仿宋" w:cs="Times New Roman" w:hint="eastAsia"/>
          <w:sz w:val="32"/>
          <w:szCs w:val="32"/>
        </w:rPr>
        <w:t>。为提高政策操作性，共享容积可选择按以下方式之一分配：一是共享容积中</w:t>
      </w:r>
      <w:r>
        <w:rPr>
          <w:rFonts w:ascii="仿宋" w:eastAsia="仿宋" w:hAnsi="仿宋" w:cs="Times New Roman" w:hint="eastAsia"/>
          <w:sz w:val="32"/>
          <w:szCs w:val="32"/>
        </w:rPr>
        <w:t>60%</w:t>
      </w:r>
      <w:r>
        <w:rPr>
          <w:rFonts w:ascii="仿宋" w:eastAsia="仿宋" w:hAnsi="仿宋" w:cs="Times New Roman" w:hint="eastAsia"/>
          <w:sz w:val="32"/>
          <w:szCs w:val="32"/>
        </w:rPr>
        <w:t>建成后无偿移交政府用于土地整备安置用房或公共租赁住房、保障性租赁住房等，其余</w:t>
      </w:r>
      <w:r>
        <w:rPr>
          <w:rFonts w:ascii="仿宋" w:eastAsia="仿宋" w:hAnsi="仿宋" w:cs="Times New Roman" w:hint="eastAsia"/>
          <w:sz w:val="32"/>
          <w:szCs w:val="32"/>
        </w:rPr>
        <w:t>40%</w:t>
      </w:r>
      <w:r>
        <w:rPr>
          <w:rFonts w:ascii="仿宋" w:eastAsia="仿宋" w:hAnsi="仿宋" w:cs="Times New Roman" w:hint="eastAsia"/>
          <w:sz w:val="32"/>
          <w:szCs w:val="32"/>
        </w:rPr>
        <w:t>归属于不动产权益人用于商品住房；二是共享容积</w:t>
      </w:r>
      <w:r>
        <w:rPr>
          <w:rFonts w:ascii="仿宋" w:eastAsia="仿宋" w:hAnsi="仿宋" w:cs="Times New Roman" w:hint="eastAsia"/>
          <w:sz w:val="32"/>
          <w:szCs w:val="32"/>
        </w:rPr>
        <w:lastRenderedPageBreak/>
        <w:t>全部用于共有产权住房，共有产权住房按照相关规定管理。</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（四）留用土地面积</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留用土地面积依据留用土地规划容积及规划容积率确定。</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其中留用土地规划容积率结合《深圳市城市规划标准与准则》、法定图则及相关规划要求等研究确定，应满足周边公共服务设施和城市基础设施承载力的要求。为引导留用土地节约集约利用，在</w:t>
      </w:r>
      <w:r>
        <w:rPr>
          <w:rFonts w:ascii="仿宋" w:eastAsia="仿宋" w:hAnsi="仿宋" w:cs="Times New Roman"/>
          <w:sz w:val="32"/>
          <w:szCs w:val="32"/>
        </w:rPr>
        <w:t>符合规范要求的前</w:t>
      </w:r>
      <w:r>
        <w:rPr>
          <w:rFonts w:ascii="仿宋" w:eastAsia="仿宋" w:hAnsi="仿宋" w:cs="Times New Roman"/>
          <w:sz w:val="32"/>
          <w:szCs w:val="32"/>
        </w:rPr>
        <w:t>提下</w:t>
      </w:r>
      <w:r>
        <w:rPr>
          <w:rFonts w:ascii="仿宋" w:eastAsia="仿宋" w:hAnsi="仿宋" w:cs="Times New Roman" w:hint="eastAsia"/>
          <w:sz w:val="32"/>
          <w:szCs w:val="32"/>
        </w:rPr>
        <w:t>，本办法要求留用土地规划容积率原则不低于《深圳市城市规划标准与准则》中相应功能的基准容积率。留用土地中规划住宅建筑面积还应符合《深圳市城市规划标准与准则》规定的居住容积率上限。</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（五）留用土地落地</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留用土地应优先在本项目范围内安排。留用土地无法在本项目范围内安排的，本办法提供了与本行政区范围内其他利益统筹项目、城市更新项目统筹处理或在国有储备土地上安排等多种方式。需在项目范围外安排的，按照价值相当的原则，权益容积指标需按两地地价的比值折算，且不得大于在原地核算的权益容积规模。</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（六）利益统筹项目管理</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本办法基本延续“</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sz w:val="32"/>
          <w:szCs w:val="32"/>
        </w:rPr>
        <w:t>”</w:t>
      </w:r>
      <w:r>
        <w:rPr>
          <w:rFonts w:ascii="仿宋" w:eastAsia="仿宋" w:hAnsi="仿宋" w:cs="Times New Roman"/>
          <w:sz w:val="32"/>
          <w:szCs w:val="32"/>
        </w:rPr>
        <w:t>关于</w:t>
      </w:r>
      <w:r>
        <w:rPr>
          <w:rFonts w:ascii="仿宋" w:eastAsia="仿宋" w:hAnsi="仿宋" w:cs="Times New Roman" w:hint="eastAsia"/>
          <w:sz w:val="32"/>
          <w:szCs w:val="32"/>
        </w:rPr>
        <w:t>土地整备项目实施方案、土地整备单元规划的管理要求，但在搬迁补偿协议签订、实</w:t>
      </w:r>
      <w:r>
        <w:rPr>
          <w:rFonts w:ascii="仿宋" w:eastAsia="仿宋" w:hAnsi="仿宋" w:cs="Times New Roman" w:hint="eastAsia"/>
          <w:sz w:val="32"/>
          <w:szCs w:val="32"/>
        </w:rPr>
        <w:lastRenderedPageBreak/>
        <w:t>施监管协议签订、留用土地出让等环节对“</w:t>
      </w:r>
      <w:r>
        <w:rPr>
          <w:rFonts w:ascii="仿宋" w:eastAsia="仿宋" w:hAnsi="仿宋" w:cs="Times New Roman"/>
          <w:sz w:val="32"/>
          <w:szCs w:val="32"/>
        </w:rPr>
        <w:t>6</w:t>
      </w:r>
      <w:r>
        <w:rPr>
          <w:rFonts w:ascii="仿宋" w:eastAsia="仿宋" w:hAnsi="仿宋" w:cs="Times New Roman"/>
          <w:sz w:val="32"/>
          <w:szCs w:val="32"/>
        </w:rPr>
        <w:t>号文</w:t>
      </w:r>
      <w:r>
        <w:rPr>
          <w:rFonts w:ascii="仿宋" w:eastAsia="仿宋" w:hAnsi="仿宋" w:cs="Times New Roman" w:hint="eastAsia"/>
          <w:sz w:val="32"/>
          <w:szCs w:val="32"/>
        </w:rPr>
        <w:t>”进行了优化。</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hint="eastAsia"/>
          <w:b/>
          <w:sz w:val="32"/>
          <w:szCs w:val="32"/>
        </w:rPr>
        <w:t>1.</w:t>
      </w:r>
      <w:r>
        <w:rPr>
          <w:rFonts w:ascii="仿宋" w:eastAsia="仿宋" w:hAnsi="仿宋" w:cs="Times New Roman" w:hint="eastAsia"/>
          <w:b/>
          <w:sz w:val="32"/>
          <w:szCs w:val="32"/>
        </w:rPr>
        <w:t>搬迁谈判和搬迁补偿协议签订</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本办法提出了实施搬迁补偿的三种方式：一是不动产权益人自行搬迁，二是引入市场主体搬迁，三是由区政府组织搬迁。相比“</w:t>
      </w:r>
      <w:r>
        <w:rPr>
          <w:rFonts w:ascii="仿宋" w:eastAsia="仿宋" w:hAnsi="仿宋" w:cs="Times New Roman"/>
          <w:sz w:val="32"/>
          <w:szCs w:val="32"/>
        </w:rPr>
        <w:t>6</w:t>
      </w:r>
      <w:r>
        <w:rPr>
          <w:rFonts w:ascii="仿宋" w:eastAsia="仿宋" w:hAnsi="仿宋" w:cs="Times New Roman" w:hint="eastAsia"/>
          <w:sz w:val="32"/>
          <w:szCs w:val="32"/>
        </w:rPr>
        <w:t>号文”，本办法允许在项目实施方案及土地整备单元规划审批通过后，由不动产权益人或区政府引入市场主体开展搬迁谈判、搬迁补偿协议签订等工作，其中由不动产权益人引入市场主体的应经区政府确认。利益统筹项目涉及原农村</w:t>
      </w:r>
      <w:r>
        <w:rPr>
          <w:rFonts w:ascii="仿宋" w:eastAsia="仿宋" w:hAnsi="仿宋" w:cs="Times New Roman" w:hint="eastAsia"/>
          <w:sz w:val="32"/>
          <w:szCs w:val="32"/>
        </w:rPr>
        <w:t>集体经济组织继受单位</w:t>
      </w:r>
      <w:proofErr w:type="gramStart"/>
      <w:r>
        <w:rPr>
          <w:rFonts w:ascii="仿宋" w:eastAsia="仿宋" w:hAnsi="仿宋" w:cs="Times New Roman" w:hint="eastAsia"/>
          <w:sz w:val="32"/>
          <w:szCs w:val="32"/>
        </w:rPr>
        <w:t>实际掌</w:t>
      </w:r>
      <w:proofErr w:type="gramEnd"/>
      <w:r>
        <w:rPr>
          <w:rFonts w:ascii="仿宋" w:eastAsia="仿宋" w:hAnsi="仿宋" w:cs="Times New Roman" w:hint="eastAsia"/>
          <w:sz w:val="32"/>
          <w:szCs w:val="32"/>
        </w:rPr>
        <w:t>控用地的，引入的市场主体还应当符合集体资产处置相关规定。此外，为了确保项目顺利实施，本办法对市场主体的资格条件也提出了要求。</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b/>
          <w:sz w:val="32"/>
          <w:szCs w:val="32"/>
        </w:rPr>
        <w:t>2.</w:t>
      </w:r>
      <w:r>
        <w:rPr>
          <w:rFonts w:ascii="仿宋" w:eastAsia="仿宋" w:hAnsi="仿宋" w:cs="Times New Roman"/>
          <w:b/>
          <w:sz w:val="32"/>
          <w:szCs w:val="32"/>
        </w:rPr>
        <w:t>项目</w:t>
      </w:r>
      <w:r>
        <w:rPr>
          <w:rFonts w:ascii="仿宋" w:eastAsia="仿宋" w:hAnsi="仿宋" w:cs="Times New Roman" w:hint="eastAsia"/>
          <w:b/>
          <w:sz w:val="32"/>
          <w:szCs w:val="32"/>
        </w:rPr>
        <w:t>实施监管协议签订</w:t>
      </w:r>
    </w:p>
    <w:p w:rsidR="00E35C75" w:rsidRDefault="003A0821">
      <w:pPr>
        <w:spacing w:line="560" w:lineRule="exact"/>
        <w:ind w:firstLineChars="200" w:firstLine="640"/>
        <w:rPr>
          <w:rFonts w:ascii="仿宋" w:eastAsia="仿宋" w:hAnsi="仿宋" w:cs="Times New Roman"/>
          <w:sz w:val="32"/>
          <w:szCs w:val="32"/>
        </w:rPr>
      </w:pPr>
      <w:r>
        <w:rPr>
          <w:rFonts w:ascii="仿宋" w:eastAsia="仿宋" w:hAnsi="仿宋" w:hint="eastAsia"/>
          <w:sz w:val="32"/>
        </w:rPr>
        <w:t>不动产权益人自行完成搬迁的，或者通过相关方式引入的市场主体完成搬迁补偿协议签订的，区政府应当</w:t>
      </w:r>
      <w:r>
        <w:rPr>
          <w:rFonts w:ascii="仿宋" w:eastAsia="仿宋" w:hAnsi="仿宋"/>
          <w:sz w:val="32"/>
        </w:rPr>
        <w:t>与不动产权益人或市场主体</w:t>
      </w:r>
      <w:r>
        <w:rPr>
          <w:rFonts w:ascii="仿宋" w:eastAsia="仿宋" w:hAnsi="仿宋" w:hint="eastAsia"/>
          <w:sz w:val="32"/>
        </w:rPr>
        <w:t>签订项目实施监管协议。对于利益统筹项目引入市场主体的，市场主体必须完成全部搬迁补偿协议签订，实现</w:t>
      </w:r>
      <w:r>
        <w:rPr>
          <w:rFonts w:ascii="仿宋" w:eastAsia="仿宋" w:hAnsi="仿宋" w:cs="Times New Roman" w:hint="eastAsia"/>
          <w:sz w:val="32"/>
          <w:szCs w:val="32"/>
        </w:rPr>
        <w:t>项目范围内的所有权益转移归</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后，方能签订项目实施监管协议并受让留用土地。此外，除提前移交政府的用地外，</w:t>
      </w:r>
      <w:r>
        <w:rPr>
          <w:rFonts w:ascii="仿宋" w:eastAsia="仿宋" w:hAnsi="仿宋" w:hint="eastAsia"/>
          <w:sz w:val="32"/>
          <w:szCs w:val="32"/>
        </w:rPr>
        <w:t>市场主体或自行搬迁的</w:t>
      </w:r>
      <w:r>
        <w:rPr>
          <w:rFonts w:ascii="仿宋" w:eastAsia="仿宋" w:hAnsi="仿宋" w:hint="eastAsia"/>
          <w:sz w:val="32"/>
          <w:szCs w:val="32"/>
        </w:rPr>
        <w:t>不动产权益人应当与</w:t>
      </w:r>
      <w:r>
        <w:rPr>
          <w:rFonts w:ascii="仿宋" w:eastAsia="仿宋" w:hAnsi="仿宋" w:cs="Times New Roman" w:hint="eastAsia"/>
          <w:sz w:val="32"/>
          <w:szCs w:val="32"/>
        </w:rPr>
        <w:t>区政府签订项目实施监管协议后方可按规定拆除利益统筹项目范围内建筑物。</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b/>
          <w:sz w:val="32"/>
          <w:szCs w:val="32"/>
        </w:rPr>
        <w:t>3.</w:t>
      </w:r>
      <w:r>
        <w:rPr>
          <w:rFonts w:ascii="仿宋" w:eastAsia="仿宋" w:hAnsi="仿宋" w:cs="Times New Roman" w:hint="eastAsia"/>
          <w:b/>
          <w:sz w:val="32"/>
          <w:szCs w:val="32"/>
        </w:rPr>
        <w:t>留用土地出让</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土地整备利益统筹属于存量低效用地再开发的一种方式，在土地管理方面与新增土地有所不同。为落实《综合改革试点》关于创新土地供应方式的要求，充分保障不动产权益人财产权利和合法权益，本办法提出留用土地可以通过协议方式出让给不动产权益人或符合条件的市场主体。</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（七）关于过渡期政策衔接的说明</w:t>
      </w:r>
    </w:p>
    <w:p w:rsidR="00E35C75" w:rsidRDefault="003A0821">
      <w:pPr>
        <w:spacing w:line="560" w:lineRule="exact"/>
        <w:ind w:firstLineChars="200" w:firstLine="640"/>
        <w:rPr>
          <w:rFonts w:ascii="仿宋" w:eastAsia="仿宋" w:hAnsi="仿宋" w:cs="Times New Roman"/>
          <w:sz w:val="32"/>
          <w:szCs w:val="32"/>
          <w:highlight w:val="yellow"/>
        </w:rPr>
      </w:pPr>
      <w:r>
        <w:rPr>
          <w:rFonts w:ascii="仿宋" w:eastAsia="仿宋" w:hAnsi="仿宋" w:cs="Times New Roman" w:hint="eastAsia"/>
          <w:sz w:val="32"/>
          <w:szCs w:val="32"/>
        </w:rPr>
        <w:t>由于在利益规则上与“</w:t>
      </w:r>
      <w:r>
        <w:rPr>
          <w:rFonts w:ascii="仿宋" w:eastAsia="仿宋" w:hAnsi="仿宋" w:cs="Times New Roman" w:hint="eastAsia"/>
          <w:sz w:val="32"/>
          <w:szCs w:val="32"/>
        </w:rPr>
        <w:t>6</w:t>
      </w:r>
      <w:r>
        <w:rPr>
          <w:rFonts w:ascii="仿宋" w:eastAsia="仿宋" w:hAnsi="仿宋" w:cs="Times New Roman" w:hint="eastAsia"/>
          <w:sz w:val="32"/>
          <w:szCs w:val="32"/>
        </w:rPr>
        <w:t>号文”有一些区别，为保证项目</w:t>
      </w:r>
      <w:proofErr w:type="gramStart"/>
      <w:r>
        <w:rPr>
          <w:rFonts w:ascii="仿宋" w:eastAsia="仿宋" w:hAnsi="仿宋" w:cs="Times New Roman" w:hint="eastAsia"/>
          <w:sz w:val="32"/>
          <w:szCs w:val="32"/>
        </w:rPr>
        <w:t>实施平稳</w:t>
      </w:r>
      <w:proofErr w:type="gramEnd"/>
      <w:r>
        <w:rPr>
          <w:rFonts w:ascii="仿宋" w:eastAsia="仿宋" w:hAnsi="仿宋" w:cs="Times New Roman" w:hint="eastAsia"/>
          <w:sz w:val="32"/>
          <w:szCs w:val="32"/>
        </w:rPr>
        <w:t>过渡，本办法对过渡期政策</w:t>
      </w:r>
      <w:proofErr w:type="gramStart"/>
      <w:r>
        <w:rPr>
          <w:rFonts w:ascii="仿宋" w:eastAsia="仿宋" w:hAnsi="仿宋" w:cs="Times New Roman" w:hint="eastAsia"/>
          <w:sz w:val="32"/>
          <w:szCs w:val="32"/>
        </w:rPr>
        <w:t>衔接做</w:t>
      </w:r>
      <w:proofErr w:type="gramEnd"/>
      <w:r>
        <w:rPr>
          <w:rFonts w:ascii="仿宋" w:eastAsia="仿宋" w:hAnsi="仿宋" w:cs="Times New Roman" w:hint="eastAsia"/>
          <w:sz w:val="32"/>
          <w:szCs w:val="32"/>
        </w:rPr>
        <w:t>如下安排：</w:t>
      </w:r>
      <w:r>
        <w:rPr>
          <w:rFonts w:ascii="仿宋" w:eastAsia="仿宋" w:hAnsi="仿宋" w:hint="eastAsia"/>
          <w:sz w:val="32"/>
          <w:szCs w:val="32"/>
        </w:rPr>
        <w:t>本办法施行之日前纳入全市土地整备年度计划的利益统筹项目，已经完成项目实施方案审批的按照已审批通过的方案执行，未完成项目实施方案审批的可按照“</w:t>
      </w:r>
      <w:r>
        <w:rPr>
          <w:rFonts w:ascii="仿宋" w:eastAsia="仿宋" w:hAnsi="仿宋" w:hint="eastAsia"/>
          <w:sz w:val="32"/>
          <w:szCs w:val="32"/>
        </w:rPr>
        <w:t>6</w:t>
      </w:r>
      <w:r>
        <w:rPr>
          <w:rFonts w:ascii="仿宋" w:eastAsia="仿宋" w:hAnsi="仿宋" w:hint="eastAsia"/>
          <w:sz w:val="32"/>
          <w:szCs w:val="32"/>
        </w:rPr>
        <w:t>号文”或者本办法执行；本办法施行之日</w:t>
      </w:r>
      <w:r>
        <w:rPr>
          <w:rFonts w:ascii="仿宋" w:eastAsia="仿宋" w:hAnsi="仿宋"/>
          <w:sz w:val="32"/>
          <w:szCs w:val="32"/>
        </w:rPr>
        <w:t>起六个月内新</w:t>
      </w:r>
      <w:r>
        <w:rPr>
          <w:rFonts w:ascii="仿宋" w:eastAsia="仿宋" w:hAnsi="仿宋" w:hint="eastAsia"/>
          <w:sz w:val="32"/>
          <w:szCs w:val="32"/>
        </w:rPr>
        <w:t>纳入全市土地整备年度计划的利益统筹项目，可按照“</w:t>
      </w:r>
      <w:r>
        <w:rPr>
          <w:rFonts w:ascii="仿宋" w:eastAsia="仿宋" w:hAnsi="仿宋" w:hint="eastAsia"/>
          <w:sz w:val="32"/>
          <w:szCs w:val="32"/>
        </w:rPr>
        <w:t>6</w:t>
      </w:r>
      <w:r>
        <w:rPr>
          <w:rFonts w:ascii="仿宋" w:eastAsia="仿宋" w:hAnsi="仿宋" w:hint="eastAsia"/>
          <w:sz w:val="32"/>
          <w:szCs w:val="32"/>
        </w:rPr>
        <w:t>号文”或者本办法执行；本办法施行之日起六个月后新纳入全市土地整备年度计划的利益统筹项目，按本办法执行。</w:t>
      </w:r>
    </w:p>
    <w:p w:rsidR="00E35C75" w:rsidRDefault="003A0821">
      <w:pPr>
        <w:keepNext/>
        <w:keepLines/>
        <w:numPr>
          <w:ilvl w:val="0"/>
          <w:numId w:val="1"/>
        </w:numPr>
        <w:spacing w:line="56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t>政策评估</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（一）</w:t>
      </w:r>
      <w:r>
        <w:rPr>
          <w:rFonts w:ascii="仿宋" w:eastAsia="仿宋" w:hAnsi="仿宋" w:cs="Times New Roman" w:hint="eastAsia"/>
          <w:b/>
          <w:sz w:val="32"/>
          <w:szCs w:val="32"/>
        </w:rPr>
        <w:t>有利于推进连片成片整备</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w:t>
      </w:r>
      <w:r>
        <w:rPr>
          <w:rFonts w:ascii="仿宋" w:eastAsia="仿宋" w:hAnsi="仿宋" w:cs="Times New Roman" w:hint="eastAsia"/>
          <w:bCs/>
          <w:sz w:val="32"/>
          <w:szCs w:val="32"/>
        </w:rPr>
        <w:t>拓展了土地整备利益统筹实施对象，</w:t>
      </w:r>
      <w:r>
        <w:rPr>
          <w:rFonts w:ascii="仿宋" w:eastAsia="仿宋" w:hAnsi="仿宋" w:cs="Times New Roman" w:hint="eastAsia"/>
          <w:sz w:val="32"/>
          <w:szCs w:val="32"/>
        </w:rPr>
        <w:t>将原农村集体经济组织继受单位</w:t>
      </w:r>
      <w:proofErr w:type="gramStart"/>
      <w:r>
        <w:rPr>
          <w:rFonts w:ascii="仿宋" w:eastAsia="仿宋" w:hAnsi="仿宋" w:cs="Times New Roman" w:hint="eastAsia"/>
          <w:sz w:val="32"/>
          <w:szCs w:val="32"/>
        </w:rPr>
        <w:t>实际掌</w:t>
      </w:r>
      <w:proofErr w:type="gramEnd"/>
      <w:r>
        <w:rPr>
          <w:rFonts w:ascii="仿宋" w:eastAsia="仿宋" w:hAnsi="仿宋" w:cs="Times New Roman" w:hint="eastAsia"/>
          <w:sz w:val="32"/>
          <w:szCs w:val="32"/>
        </w:rPr>
        <w:t>控用地、国有已出让用地、</w:t>
      </w:r>
      <w:proofErr w:type="gramStart"/>
      <w:r>
        <w:rPr>
          <w:rFonts w:ascii="仿宋" w:eastAsia="仿宋" w:hAnsi="仿宋" w:cs="Times New Roman" w:hint="eastAsia"/>
          <w:sz w:val="32"/>
          <w:szCs w:val="32"/>
        </w:rPr>
        <w:t>已征转未完善</w:t>
      </w:r>
      <w:proofErr w:type="gramEnd"/>
      <w:r>
        <w:rPr>
          <w:rFonts w:ascii="仿宋" w:eastAsia="仿宋" w:hAnsi="仿宋" w:cs="Times New Roman" w:hint="eastAsia"/>
          <w:sz w:val="32"/>
          <w:szCs w:val="32"/>
        </w:rPr>
        <w:t>出让手续用地等各类存</w:t>
      </w:r>
      <w:r>
        <w:rPr>
          <w:rFonts w:ascii="仿宋" w:eastAsia="仿宋" w:hAnsi="仿宋" w:cs="Times New Roman" w:hint="eastAsia"/>
          <w:sz w:val="32"/>
          <w:szCs w:val="32"/>
        </w:rPr>
        <w:t>量低效用地纳入政策范畴，实现政策对象全覆盖，有利于推进各类存量低效用地的开发。目前我市正在开展较大面积产业空间整备、综合功能区土地整备等连片成片整备工作，将各类存量低效用地纳入政策适</w:t>
      </w:r>
      <w:r>
        <w:rPr>
          <w:rFonts w:ascii="仿宋" w:eastAsia="仿宋" w:hAnsi="仿宋" w:cs="Times New Roman" w:hint="eastAsia"/>
          <w:sz w:val="32"/>
          <w:szCs w:val="32"/>
        </w:rPr>
        <w:lastRenderedPageBreak/>
        <w:t>用范围能够避免因政策不覆盖而带来的实施范围开天窗问题，有助于形成集中连片优质国土空间，保障更多重大民生设施、重大产业项目落地实施。</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（二）</w:t>
      </w:r>
      <w:r>
        <w:rPr>
          <w:rFonts w:ascii="仿宋" w:eastAsia="仿宋" w:hAnsi="仿宋" w:cs="Times New Roman" w:hint="eastAsia"/>
          <w:b/>
          <w:sz w:val="32"/>
          <w:szCs w:val="32"/>
        </w:rPr>
        <w:t>有利于国土空间规划建筑功能结构的优化调整</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本办法落实我市国土空间总体规划“保民生、提居住、优工业、控商办”的城市发展策略，通过土地整备利益统筹储备集中连片用地用于重大民生、重大产业等项目，通过</w:t>
      </w:r>
      <w:r>
        <w:rPr>
          <w:rFonts w:ascii="仿宋" w:eastAsia="仿宋" w:hAnsi="仿宋" w:cs="Times New Roman" w:hint="eastAsia"/>
          <w:sz w:val="32"/>
          <w:szCs w:val="32"/>
        </w:rPr>
        <w:t>留用土地优先安排居住加大住宅的市场供给，且通过修正系数设计适度控制商业服务业用地。同时，本办法明确了公共住房的下限比例，并给予政策系数奖励，进一步优化住宅供应结构，增加公共住房供给。</w:t>
      </w:r>
    </w:p>
    <w:p w:rsidR="00E35C75" w:rsidRDefault="003A0821" w:rsidP="005817B7">
      <w:pPr>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w:t>
      </w:r>
      <w:r>
        <w:rPr>
          <w:rFonts w:ascii="仿宋" w:eastAsia="仿宋" w:hAnsi="仿宋" w:cs="Times New Roman" w:hint="eastAsia"/>
          <w:b/>
          <w:sz w:val="32"/>
          <w:szCs w:val="32"/>
        </w:rPr>
        <w:t>有利于土地整备的高质量可持续发展</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t>土地整备是我市盘活存量低效用地、实现国土空间提质增效的重要手段。本办法建立了以权益容积为核心的利益规则，综合考虑整备项目的土地产权结构、现状建筑权益、留用土地功能等因素确定项目的权益容积规模，减少因规划条件差别带来的项目补偿差异，促进不同土地整备项目之间的利益平衡，契合了</w:t>
      </w:r>
      <w:r w:rsidR="005817B7">
        <w:rPr>
          <w:rFonts w:ascii="仿宋" w:eastAsia="仿宋" w:hAnsi="仿宋" w:cs="Times New Roman" w:hint="eastAsia"/>
          <w:sz w:val="32"/>
          <w:szCs w:val="32"/>
        </w:rPr>
        <w:t>党的</w:t>
      </w:r>
      <w:bookmarkStart w:id="2" w:name="_GoBack"/>
      <w:bookmarkEnd w:id="2"/>
      <w:r>
        <w:rPr>
          <w:rFonts w:ascii="仿宋" w:eastAsia="仿宋" w:hAnsi="仿宋" w:cs="Times New Roman" w:hint="eastAsia"/>
          <w:sz w:val="32"/>
          <w:szCs w:val="32"/>
        </w:rPr>
        <w:t>十九大关于更公平</w:t>
      </w:r>
      <w:r>
        <w:rPr>
          <w:rFonts w:ascii="仿宋" w:eastAsia="仿宋" w:hAnsi="仿宋" w:cs="Times New Roman" w:hint="eastAsia"/>
          <w:sz w:val="32"/>
          <w:szCs w:val="32"/>
        </w:rPr>
        <w:t>、更可持续的发展要求，为土地整备的高质量可持续发展提供政策支撑和制度保障。</w:t>
      </w:r>
    </w:p>
    <w:p w:rsidR="00E35C75" w:rsidRDefault="003A0821" w:rsidP="005817B7">
      <w:pPr>
        <w:ind w:firstLineChars="200" w:firstLine="643"/>
        <w:rPr>
          <w:rFonts w:ascii="仿宋" w:eastAsia="仿宋" w:hAnsi="仿宋" w:cs="Times New Roman"/>
          <w:b/>
          <w:sz w:val="32"/>
          <w:szCs w:val="32"/>
        </w:rPr>
      </w:pPr>
      <w:r>
        <w:rPr>
          <w:rFonts w:ascii="仿宋" w:eastAsia="仿宋" w:hAnsi="仿宋" w:cs="Times New Roman" w:hint="eastAsia"/>
          <w:b/>
          <w:bCs/>
          <w:sz w:val="32"/>
          <w:szCs w:val="32"/>
        </w:rPr>
        <w:t>（四）</w:t>
      </w:r>
      <w:r>
        <w:rPr>
          <w:rFonts w:ascii="仿宋" w:eastAsia="仿宋" w:hAnsi="仿宋" w:cs="Times New Roman" w:hint="eastAsia"/>
          <w:b/>
          <w:sz w:val="32"/>
          <w:szCs w:val="32"/>
        </w:rPr>
        <w:t>有利于形成可复制、可推广的存量低效用地再开发经验</w:t>
      </w:r>
    </w:p>
    <w:p w:rsidR="00E35C75" w:rsidRDefault="003A0821">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本办法落实了《综合改革试点》中关于盘活存量低效工业用地的改革要求，在土地供应、收益分配、规划调整、历史遗留用地问题处理和机制建构等方面进行了有益探索，为其他城市提供可复制、可推广的存量低效用地再开发“深圳经验”。</w:t>
      </w:r>
    </w:p>
    <w:p w:rsidR="00E35C75" w:rsidRDefault="00E35C75">
      <w:pPr>
        <w:rPr>
          <w:rFonts w:ascii="仿宋" w:eastAsia="仿宋" w:hAnsi="仿宋"/>
        </w:rPr>
      </w:pPr>
    </w:p>
    <w:sectPr w:rsidR="00E35C75">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21" w:rsidRDefault="003A0821">
      <w:r>
        <w:separator/>
      </w:r>
    </w:p>
  </w:endnote>
  <w:endnote w:type="continuationSeparator" w:id="0">
    <w:p w:rsidR="003A0821" w:rsidRDefault="003A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75" w:rsidRDefault="003A0821">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35C75" w:rsidRDefault="00E35C7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75" w:rsidRDefault="003A0821">
    <w:pPr>
      <w:pStyle w:val="a5"/>
      <w:jc w:val="center"/>
    </w:pPr>
    <w:r>
      <w:fldChar w:fldCharType="begin"/>
    </w:r>
    <w:r>
      <w:instrText>PAGE   \* MERGEFORMAT</w:instrText>
    </w:r>
    <w:r>
      <w:fldChar w:fldCharType="separate"/>
    </w:r>
    <w:r w:rsidR="005817B7" w:rsidRPr="005817B7">
      <w:rPr>
        <w:noProof/>
        <w:lang w:val="zh-CN"/>
      </w:rPr>
      <w:t>13</w:t>
    </w:r>
    <w:r>
      <w:fldChar w:fldCharType="end"/>
    </w:r>
  </w:p>
  <w:p w:rsidR="00E35C75" w:rsidRDefault="00E35C7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21" w:rsidRDefault="003A0821">
      <w:r>
        <w:separator/>
      </w:r>
    </w:p>
  </w:footnote>
  <w:footnote w:type="continuationSeparator" w:id="0">
    <w:p w:rsidR="003A0821" w:rsidRDefault="003A0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644D1"/>
    <w:multiLevelType w:val="multilevel"/>
    <w:tmpl w:val="339644D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C6"/>
    <w:rsid w:val="DBEDBDEB"/>
    <w:rsid w:val="00000FE3"/>
    <w:rsid w:val="000017E5"/>
    <w:rsid w:val="0000736E"/>
    <w:rsid w:val="00015090"/>
    <w:rsid w:val="00022C44"/>
    <w:rsid w:val="00031689"/>
    <w:rsid w:val="000444B4"/>
    <w:rsid w:val="000524E2"/>
    <w:rsid w:val="0005358B"/>
    <w:rsid w:val="000607E4"/>
    <w:rsid w:val="000806C5"/>
    <w:rsid w:val="000840B3"/>
    <w:rsid w:val="000869D3"/>
    <w:rsid w:val="000921EA"/>
    <w:rsid w:val="00096A61"/>
    <w:rsid w:val="000A4780"/>
    <w:rsid w:val="000A570E"/>
    <w:rsid w:val="000B36AB"/>
    <w:rsid w:val="000C7046"/>
    <w:rsid w:val="000C797C"/>
    <w:rsid w:val="000D1D29"/>
    <w:rsid w:val="000D551D"/>
    <w:rsid w:val="000E6941"/>
    <w:rsid w:val="00104E22"/>
    <w:rsid w:val="00113E21"/>
    <w:rsid w:val="00120988"/>
    <w:rsid w:val="00125B88"/>
    <w:rsid w:val="0013658D"/>
    <w:rsid w:val="00137291"/>
    <w:rsid w:val="00145000"/>
    <w:rsid w:val="00147973"/>
    <w:rsid w:val="00150E5C"/>
    <w:rsid w:val="00166062"/>
    <w:rsid w:val="0017421D"/>
    <w:rsid w:val="001902B2"/>
    <w:rsid w:val="0019287C"/>
    <w:rsid w:val="001944D7"/>
    <w:rsid w:val="001952C8"/>
    <w:rsid w:val="00197271"/>
    <w:rsid w:val="001A33DD"/>
    <w:rsid w:val="001A4BB2"/>
    <w:rsid w:val="001B22A1"/>
    <w:rsid w:val="001D1974"/>
    <w:rsid w:val="001E5548"/>
    <w:rsid w:val="001E6C0B"/>
    <w:rsid w:val="001E6FC3"/>
    <w:rsid w:val="001F7AB2"/>
    <w:rsid w:val="00203CD1"/>
    <w:rsid w:val="00205262"/>
    <w:rsid w:val="00216B70"/>
    <w:rsid w:val="00222815"/>
    <w:rsid w:val="00225A82"/>
    <w:rsid w:val="002302DB"/>
    <w:rsid w:val="0023648D"/>
    <w:rsid w:val="00242073"/>
    <w:rsid w:val="002511EE"/>
    <w:rsid w:val="00252DEB"/>
    <w:rsid w:val="00260B90"/>
    <w:rsid w:val="0026654F"/>
    <w:rsid w:val="00275FED"/>
    <w:rsid w:val="002C23F7"/>
    <w:rsid w:val="002D333D"/>
    <w:rsid w:val="002F11EE"/>
    <w:rsid w:val="002F25D4"/>
    <w:rsid w:val="002F2862"/>
    <w:rsid w:val="0032504A"/>
    <w:rsid w:val="003266EB"/>
    <w:rsid w:val="003328B7"/>
    <w:rsid w:val="0033521C"/>
    <w:rsid w:val="003410CB"/>
    <w:rsid w:val="00346585"/>
    <w:rsid w:val="00372CAA"/>
    <w:rsid w:val="00375C2E"/>
    <w:rsid w:val="003843B0"/>
    <w:rsid w:val="00385A93"/>
    <w:rsid w:val="003876B0"/>
    <w:rsid w:val="003A0821"/>
    <w:rsid w:val="003B7CAB"/>
    <w:rsid w:val="003C1BED"/>
    <w:rsid w:val="003C2A2E"/>
    <w:rsid w:val="003C45C8"/>
    <w:rsid w:val="003D2773"/>
    <w:rsid w:val="003E6142"/>
    <w:rsid w:val="003E7A3F"/>
    <w:rsid w:val="003F2357"/>
    <w:rsid w:val="003F3522"/>
    <w:rsid w:val="003F5209"/>
    <w:rsid w:val="003F7C1C"/>
    <w:rsid w:val="003F7ED6"/>
    <w:rsid w:val="00400891"/>
    <w:rsid w:val="00415AC3"/>
    <w:rsid w:val="00420FC6"/>
    <w:rsid w:val="00425C2D"/>
    <w:rsid w:val="004338EB"/>
    <w:rsid w:val="00450163"/>
    <w:rsid w:val="00452648"/>
    <w:rsid w:val="00482C58"/>
    <w:rsid w:val="0049003D"/>
    <w:rsid w:val="00493DFE"/>
    <w:rsid w:val="004A1A84"/>
    <w:rsid w:val="004A7CE2"/>
    <w:rsid w:val="004B5BFE"/>
    <w:rsid w:val="004C67FA"/>
    <w:rsid w:val="004C6911"/>
    <w:rsid w:val="004C6EDC"/>
    <w:rsid w:val="004D14A5"/>
    <w:rsid w:val="004E511E"/>
    <w:rsid w:val="004F3238"/>
    <w:rsid w:val="004F62BA"/>
    <w:rsid w:val="004F77BE"/>
    <w:rsid w:val="00503CE1"/>
    <w:rsid w:val="00505AF8"/>
    <w:rsid w:val="00511A51"/>
    <w:rsid w:val="005170A8"/>
    <w:rsid w:val="005202F0"/>
    <w:rsid w:val="00564DC4"/>
    <w:rsid w:val="005746A8"/>
    <w:rsid w:val="00575E12"/>
    <w:rsid w:val="00576139"/>
    <w:rsid w:val="005817B7"/>
    <w:rsid w:val="00592F74"/>
    <w:rsid w:val="005A0AE8"/>
    <w:rsid w:val="005A1AA4"/>
    <w:rsid w:val="005A7682"/>
    <w:rsid w:val="005B15E0"/>
    <w:rsid w:val="005B2C7E"/>
    <w:rsid w:val="005C1084"/>
    <w:rsid w:val="005C5B75"/>
    <w:rsid w:val="005C7CDA"/>
    <w:rsid w:val="005D1CB2"/>
    <w:rsid w:val="005D71EC"/>
    <w:rsid w:val="005E04D9"/>
    <w:rsid w:val="005E3B20"/>
    <w:rsid w:val="005E4864"/>
    <w:rsid w:val="005E51A2"/>
    <w:rsid w:val="005E72AD"/>
    <w:rsid w:val="005F1E0E"/>
    <w:rsid w:val="00603A47"/>
    <w:rsid w:val="0061038F"/>
    <w:rsid w:val="00615E98"/>
    <w:rsid w:val="00620E82"/>
    <w:rsid w:val="0062245E"/>
    <w:rsid w:val="006327C3"/>
    <w:rsid w:val="006501AC"/>
    <w:rsid w:val="00662072"/>
    <w:rsid w:val="006804FA"/>
    <w:rsid w:val="00682E5E"/>
    <w:rsid w:val="00684452"/>
    <w:rsid w:val="00686A91"/>
    <w:rsid w:val="00687175"/>
    <w:rsid w:val="00690782"/>
    <w:rsid w:val="006967C8"/>
    <w:rsid w:val="00697C89"/>
    <w:rsid w:val="006A1930"/>
    <w:rsid w:val="006B11CA"/>
    <w:rsid w:val="006B2A40"/>
    <w:rsid w:val="006B681C"/>
    <w:rsid w:val="006C0943"/>
    <w:rsid w:val="006E6BF3"/>
    <w:rsid w:val="006E7362"/>
    <w:rsid w:val="006E79A0"/>
    <w:rsid w:val="006F3CDC"/>
    <w:rsid w:val="007146E2"/>
    <w:rsid w:val="00720B4E"/>
    <w:rsid w:val="0072127B"/>
    <w:rsid w:val="00721E37"/>
    <w:rsid w:val="0072605D"/>
    <w:rsid w:val="00726A9C"/>
    <w:rsid w:val="00727CEF"/>
    <w:rsid w:val="007522A9"/>
    <w:rsid w:val="00761BB7"/>
    <w:rsid w:val="00784B5E"/>
    <w:rsid w:val="00787E17"/>
    <w:rsid w:val="0079442E"/>
    <w:rsid w:val="007A06A5"/>
    <w:rsid w:val="007A4456"/>
    <w:rsid w:val="007B00EE"/>
    <w:rsid w:val="007B4957"/>
    <w:rsid w:val="007B52E1"/>
    <w:rsid w:val="007C07FD"/>
    <w:rsid w:val="007C091A"/>
    <w:rsid w:val="007C2E46"/>
    <w:rsid w:val="007D2610"/>
    <w:rsid w:val="007D5735"/>
    <w:rsid w:val="007E15FC"/>
    <w:rsid w:val="007F082C"/>
    <w:rsid w:val="007F3EBC"/>
    <w:rsid w:val="007F53E8"/>
    <w:rsid w:val="007F6CE8"/>
    <w:rsid w:val="008014E4"/>
    <w:rsid w:val="0080194D"/>
    <w:rsid w:val="00812758"/>
    <w:rsid w:val="0081295A"/>
    <w:rsid w:val="00812ABA"/>
    <w:rsid w:val="008166AF"/>
    <w:rsid w:val="00825661"/>
    <w:rsid w:val="00825CCB"/>
    <w:rsid w:val="008268B4"/>
    <w:rsid w:val="00826959"/>
    <w:rsid w:val="00827706"/>
    <w:rsid w:val="0084005E"/>
    <w:rsid w:val="00844BAE"/>
    <w:rsid w:val="0084757F"/>
    <w:rsid w:val="00881677"/>
    <w:rsid w:val="008B4B0E"/>
    <w:rsid w:val="008C443C"/>
    <w:rsid w:val="008E417A"/>
    <w:rsid w:val="00900D5B"/>
    <w:rsid w:val="00907EBE"/>
    <w:rsid w:val="00912739"/>
    <w:rsid w:val="00924123"/>
    <w:rsid w:val="0093314D"/>
    <w:rsid w:val="0093543C"/>
    <w:rsid w:val="00940116"/>
    <w:rsid w:val="009445CC"/>
    <w:rsid w:val="00947411"/>
    <w:rsid w:val="009600B0"/>
    <w:rsid w:val="009669EF"/>
    <w:rsid w:val="009707F4"/>
    <w:rsid w:val="00972164"/>
    <w:rsid w:val="0098430D"/>
    <w:rsid w:val="009849AC"/>
    <w:rsid w:val="00984BEB"/>
    <w:rsid w:val="00986EAB"/>
    <w:rsid w:val="0099334D"/>
    <w:rsid w:val="009939D1"/>
    <w:rsid w:val="00995405"/>
    <w:rsid w:val="009A26F5"/>
    <w:rsid w:val="009D5F3C"/>
    <w:rsid w:val="009D6BC6"/>
    <w:rsid w:val="009D7814"/>
    <w:rsid w:val="009E335E"/>
    <w:rsid w:val="009E4B97"/>
    <w:rsid w:val="009E51B6"/>
    <w:rsid w:val="009E574E"/>
    <w:rsid w:val="009F22FD"/>
    <w:rsid w:val="009F4550"/>
    <w:rsid w:val="009F66CF"/>
    <w:rsid w:val="00A0315C"/>
    <w:rsid w:val="00A03EDF"/>
    <w:rsid w:val="00A12A79"/>
    <w:rsid w:val="00A26E37"/>
    <w:rsid w:val="00A32D6C"/>
    <w:rsid w:val="00A34988"/>
    <w:rsid w:val="00A43980"/>
    <w:rsid w:val="00A6355A"/>
    <w:rsid w:val="00A6386F"/>
    <w:rsid w:val="00A72C03"/>
    <w:rsid w:val="00A83062"/>
    <w:rsid w:val="00A842FF"/>
    <w:rsid w:val="00A86CE0"/>
    <w:rsid w:val="00A93199"/>
    <w:rsid w:val="00AA2C6A"/>
    <w:rsid w:val="00AA33F4"/>
    <w:rsid w:val="00AA4617"/>
    <w:rsid w:val="00AB1638"/>
    <w:rsid w:val="00AB2D14"/>
    <w:rsid w:val="00AB2F23"/>
    <w:rsid w:val="00AD7660"/>
    <w:rsid w:val="00B06549"/>
    <w:rsid w:val="00B106FA"/>
    <w:rsid w:val="00B17040"/>
    <w:rsid w:val="00B27E86"/>
    <w:rsid w:val="00B500CA"/>
    <w:rsid w:val="00B52626"/>
    <w:rsid w:val="00B5549C"/>
    <w:rsid w:val="00B6244C"/>
    <w:rsid w:val="00B67F20"/>
    <w:rsid w:val="00B842A2"/>
    <w:rsid w:val="00B9652B"/>
    <w:rsid w:val="00BA472A"/>
    <w:rsid w:val="00BF3501"/>
    <w:rsid w:val="00BF7149"/>
    <w:rsid w:val="00BF776C"/>
    <w:rsid w:val="00C320EC"/>
    <w:rsid w:val="00C328A7"/>
    <w:rsid w:val="00C35829"/>
    <w:rsid w:val="00C36F2F"/>
    <w:rsid w:val="00C37779"/>
    <w:rsid w:val="00C40EE6"/>
    <w:rsid w:val="00C441E5"/>
    <w:rsid w:val="00C46237"/>
    <w:rsid w:val="00C51742"/>
    <w:rsid w:val="00C9317A"/>
    <w:rsid w:val="00CA7F6E"/>
    <w:rsid w:val="00CB297F"/>
    <w:rsid w:val="00CB2B3B"/>
    <w:rsid w:val="00CB6CEC"/>
    <w:rsid w:val="00CD2E7A"/>
    <w:rsid w:val="00CD578D"/>
    <w:rsid w:val="00CE0ABC"/>
    <w:rsid w:val="00CF185F"/>
    <w:rsid w:val="00CF3551"/>
    <w:rsid w:val="00CF426D"/>
    <w:rsid w:val="00CF508E"/>
    <w:rsid w:val="00D0430B"/>
    <w:rsid w:val="00D075EC"/>
    <w:rsid w:val="00D13083"/>
    <w:rsid w:val="00D169F4"/>
    <w:rsid w:val="00D2589F"/>
    <w:rsid w:val="00D426A2"/>
    <w:rsid w:val="00D62397"/>
    <w:rsid w:val="00D662C8"/>
    <w:rsid w:val="00D675DA"/>
    <w:rsid w:val="00D6783A"/>
    <w:rsid w:val="00D71387"/>
    <w:rsid w:val="00D7161C"/>
    <w:rsid w:val="00D7229E"/>
    <w:rsid w:val="00D8114B"/>
    <w:rsid w:val="00DB68BC"/>
    <w:rsid w:val="00DB6BA7"/>
    <w:rsid w:val="00DB7B5C"/>
    <w:rsid w:val="00DC2A1D"/>
    <w:rsid w:val="00DC61A6"/>
    <w:rsid w:val="00DC663D"/>
    <w:rsid w:val="00DD5034"/>
    <w:rsid w:val="00DE091A"/>
    <w:rsid w:val="00DE0E41"/>
    <w:rsid w:val="00DE30EB"/>
    <w:rsid w:val="00E0580B"/>
    <w:rsid w:val="00E068F3"/>
    <w:rsid w:val="00E10F71"/>
    <w:rsid w:val="00E31FD2"/>
    <w:rsid w:val="00E32A35"/>
    <w:rsid w:val="00E3527F"/>
    <w:rsid w:val="00E35C75"/>
    <w:rsid w:val="00E3672D"/>
    <w:rsid w:val="00E4275A"/>
    <w:rsid w:val="00E5107E"/>
    <w:rsid w:val="00E802F0"/>
    <w:rsid w:val="00E86F9C"/>
    <w:rsid w:val="00E90A75"/>
    <w:rsid w:val="00EA21F1"/>
    <w:rsid w:val="00EA468F"/>
    <w:rsid w:val="00EA6838"/>
    <w:rsid w:val="00EA6C5F"/>
    <w:rsid w:val="00EC09A3"/>
    <w:rsid w:val="00ED05EE"/>
    <w:rsid w:val="00ED5F47"/>
    <w:rsid w:val="00ED6C04"/>
    <w:rsid w:val="00ED7BF8"/>
    <w:rsid w:val="00EE6AB8"/>
    <w:rsid w:val="00EE6FC9"/>
    <w:rsid w:val="00EE7C63"/>
    <w:rsid w:val="00EF130D"/>
    <w:rsid w:val="00EF2A03"/>
    <w:rsid w:val="00EF4E9C"/>
    <w:rsid w:val="00EF5EB7"/>
    <w:rsid w:val="00F0152B"/>
    <w:rsid w:val="00F037EE"/>
    <w:rsid w:val="00F1011F"/>
    <w:rsid w:val="00F107AD"/>
    <w:rsid w:val="00F14D60"/>
    <w:rsid w:val="00F16CBB"/>
    <w:rsid w:val="00F2118F"/>
    <w:rsid w:val="00F34C1F"/>
    <w:rsid w:val="00F43E77"/>
    <w:rsid w:val="00F45F48"/>
    <w:rsid w:val="00F576FA"/>
    <w:rsid w:val="00F8419E"/>
    <w:rsid w:val="00F8491C"/>
    <w:rsid w:val="00F95CE3"/>
    <w:rsid w:val="00F968F6"/>
    <w:rsid w:val="00FA128B"/>
    <w:rsid w:val="00FA482B"/>
    <w:rsid w:val="00FB0213"/>
    <w:rsid w:val="00FB0CA1"/>
    <w:rsid w:val="00FB309B"/>
    <w:rsid w:val="00FB4F77"/>
    <w:rsid w:val="00FB631B"/>
    <w:rsid w:val="00FD0CE7"/>
    <w:rsid w:val="00FD2A66"/>
    <w:rsid w:val="00FD432D"/>
    <w:rsid w:val="00FE0592"/>
    <w:rsid w:val="00FE0A91"/>
    <w:rsid w:val="00FE4ED7"/>
    <w:rsid w:val="00FE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1">
    <w:name w:val="页眉 Char"/>
    <w:basedOn w:val="a0"/>
    <w:link w:val="a6"/>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a">
    <w:name w:val="List Paragraph"/>
    <w:basedOn w:val="a"/>
    <w:uiPriority w:val="34"/>
    <w:qFormat/>
    <w:pPr>
      <w:ind w:firstLineChars="200" w:firstLine="420"/>
    </w:pPr>
  </w:style>
  <w:style w:type="character" w:styleId="ab">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1">
    <w:name w:val="页眉 Char"/>
    <w:basedOn w:val="a0"/>
    <w:link w:val="a6"/>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a">
    <w:name w:val="List Paragraph"/>
    <w:basedOn w:val="a"/>
    <w:uiPriority w:val="34"/>
    <w:qFormat/>
    <w:pPr>
      <w:ind w:firstLineChars="200" w:firstLine="420"/>
    </w:pPr>
  </w:style>
  <w:style w:type="character" w:styleId="a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923</Words>
  <Characters>5263</Characters>
  <Application>Microsoft Office Word</Application>
  <DocSecurity>0</DocSecurity>
  <Lines>43</Lines>
  <Paragraphs>12</Paragraphs>
  <ScaleCrop>false</ScaleCrop>
  <Company>Chinese ORG</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林强</dc:creator>
  <cp:lastModifiedBy>User</cp:lastModifiedBy>
  <cp:revision>7</cp:revision>
  <cp:lastPrinted>2021-11-03T11:02:00Z</cp:lastPrinted>
  <dcterms:created xsi:type="dcterms:W3CDTF">2022-03-14T10:56:00Z</dcterms:created>
  <dcterms:modified xsi:type="dcterms:W3CDTF">2023-04-23T09:34:00Z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