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30"/>
          <w:szCs w:val="30"/>
        </w:rPr>
      </w:pPr>
      <w:r>
        <w:rPr>
          <w:rFonts w:hint="eastAsia" w:ascii="黑体" w:hAnsi="黑体" w:eastAsia="黑体"/>
          <w:b/>
          <w:bCs/>
          <w:sz w:val="30"/>
          <w:szCs w:val="30"/>
        </w:rPr>
        <w:t>《深圳市城市规划标准与准则》局部修订（幼儿园、托育机构）条文对照表</w:t>
      </w:r>
    </w:p>
    <w:p>
      <w:pPr>
        <w:rPr>
          <w:rFonts w:ascii="黑体" w:hAnsi="黑体" w:eastAsia="黑体"/>
          <w:b/>
          <w:bCs/>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0"/>
        <w:gridCol w:w="10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460" w:type="dxa"/>
            <w:shd w:val="clear" w:color="auto" w:fill="D8D8D8" w:themeFill="background1" w:themeFillShade="D9"/>
          </w:tcPr>
          <w:p>
            <w:pPr>
              <w:jc w:val="center"/>
              <w:rPr>
                <w:rFonts w:ascii="微软雅黑" w:hAnsi="微软雅黑" w:eastAsia="微软雅黑"/>
                <w:b/>
                <w:bCs/>
                <w:sz w:val="28"/>
                <w:szCs w:val="32"/>
              </w:rPr>
            </w:pPr>
            <w:r>
              <w:rPr>
                <w:rFonts w:hint="eastAsia" w:ascii="微软雅黑" w:hAnsi="微软雅黑" w:eastAsia="微软雅黑"/>
                <w:b/>
                <w:bCs/>
                <w:sz w:val="28"/>
                <w:szCs w:val="32"/>
              </w:rPr>
              <w:t>《深标》（2</w:t>
            </w:r>
            <w:r>
              <w:rPr>
                <w:rFonts w:ascii="微软雅黑" w:hAnsi="微软雅黑" w:eastAsia="微软雅黑"/>
                <w:b/>
                <w:bCs/>
                <w:sz w:val="28"/>
                <w:szCs w:val="32"/>
              </w:rPr>
              <w:t>021</w:t>
            </w:r>
            <w:r>
              <w:rPr>
                <w:rFonts w:hint="eastAsia" w:ascii="微软雅黑" w:hAnsi="微软雅黑" w:eastAsia="微软雅黑"/>
                <w:b/>
                <w:bCs/>
                <w:sz w:val="28"/>
                <w:szCs w:val="32"/>
              </w:rPr>
              <w:t>年稿）</w:t>
            </w:r>
          </w:p>
        </w:tc>
        <w:tc>
          <w:tcPr>
            <w:tcW w:w="10461" w:type="dxa"/>
            <w:shd w:val="clear" w:color="auto" w:fill="D8D8D8" w:themeFill="background1" w:themeFillShade="D9"/>
          </w:tcPr>
          <w:p>
            <w:pPr>
              <w:jc w:val="center"/>
              <w:rPr>
                <w:rFonts w:ascii="微软雅黑" w:hAnsi="微软雅黑" w:eastAsia="微软雅黑"/>
                <w:b/>
                <w:bCs/>
                <w:sz w:val="28"/>
                <w:szCs w:val="32"/>
              </w:rPr>
            </w:pPr>
            <w:r>
              <w:rPr>
                <w:rFonts w:hint="eastAsia" w:ascii="微软雅黑" w:hAnsi="微软雅黑" w:eastAsia="微软雅黑"/>
                <w:b/>
                <w:bCs/>
                <w:sz w:val="28"/>
                <w:szCs w:val="32"/>
              </w:rPr>
              <w:t>2</w:t>
            </w:r>
            <w:r>
              <w:rPr>
                <w:rFonts w:ascii="微软雅黑" w:hAnsi="微软雅黑" w:eastAsia="微软雅黑"/>
                <w:b/>
                <w:bCs/>
                <w:sz w:val="28"/>
                <w:szCs w:val="32"/>
              </w:rPr>
              <w:t>023</w:t>
            </w:r>
            <w:r>
              <w:rPr>
                <w:rFonts w:hint="eastAsia" w:ascii="微软雅黑" w:hAnsi="微软雅黑" w:eastAsia="微软雅黑"/>
                <w:b/>
                <w:bCs/>
                <w:sz w:val="28"/>
                <w:szCs w:val="32"/>
              </w:rPr>
              <w:t>年局部修订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3" w:hRule="atLeast"/>
        </w:trPr>
        <w:tc>
          <w:tcPr>
            <w:tcW w:w="10460" w:type="dxa"/>
          </w:tcPr>
          <w:p>
            <w:pPr>
              <w:jc w:val="left"/>
              <w:rPr>
                <w:rFonts w:ascii="黑体" w:hAnsi="黑体" w:eastAsia="黑体"/>
                <w:b/>
                <w:bCs/>
                <w:sz w:val="44"/>
                <w:szCs w:val="44"/>
              </w:rPr>
            </w:pPr>
            <w:r>
              <w:rPr>
                <w:rFonts w:hint="eastAsia" w:ascii="黑体" w:hAnsi="黑体" w:eastAsia="黑体"/>
                <w:b/>
                <w:bCs/>
                <w:sz w:val="44"/>
                <w:szCs w:val="44"/>
              </w:rPr>
              <w:t>第</w:t>
            </w:r>
            <w:r>
              <w:rPr>
                <w:rFonts w:ascii="黑体" w:hAnsi="黑体" w:eastAsia="黑体"/>
                <w:b/>
                <w:bCs/>
                <w:sz w:val="44"/>
                <w:szCs w:val="44"/>
              </w:rPr>
              <w:t>5章 公共设施（条文）</w:t>
            </w:r>
          </w:p>
          <w:p>
            <w:pPr>
              <w:jc w:val="left"/>
              <w:rPr>
                <w:rFonts w:ascii="黑体" w:hAnsi="黑体" w:eastAsia="黑体" w:cs="Arial Unicode MS"/>
                <w:b/>
                <w:bCs/>
              </w:rPr>
            </w:pPr>
            <w:r>
              <w:rPr>
                <w:rFonts w:hint="eastAsia" w:ascii="黑体" w:hAnsi="黑体" w:eastAsia="黑体" w:cs="Arial Unicode MS"/>
                <w:b/>
                <w:bCs/>
              </w:rPr>
              <w:t>5</w:t>
            </w:r>
            <w:r>
              <w:rPr>
                <w:rFonts w:ascii="黑体" w:hAnsi="黑体" w:eastAsia="黑体" w:cs="Arial Unicode MS"/>
                <w:b/>
                <w:bCs/>
              </w:rPr>
              <w:t>.4</w:t>
            </w:r>
            <w:r>
              <w:rPr>
                <w:rFonts w:hint="eastAsia" w:ascii="黑体" w:hAnsi="黑体" w:eastAsia="黑体" w:cs="Arial Unicode MS"/>
                <w:b/>
                <w:bCs/>
              </w:rPr>
              <w:t xml:space="preserve"> 社区级公共设施</w:t>
            </w:r>
          </w:p>
          <w:p>
            <w:pPr>
              <w:pStyle w:val="2"/>
              <w:spacing w:before="156" w:after="156"/>
              <w:ind w:left="0" w:leftChars="0"/>
              <w:rPr>
                <w:rFonts w:cs="Arial"/>
              </w:rPr>
            </w:pPr>
            <w:r>
              <w:rPr>
                <w:rFonts w:cs="Arial"/>
              </w:rPr>
              <w:t>表5.4.1   公共设施及部分</w:t>
            </w:r>
            <w:r>
              <w:rPr>
                <w:rFonts w:hint="eastAsia" w:cs="Arial"/>
              </w:rPr>
              <w:t>交通设施、</w:t>
            </w:r>
            <w:r>
              <w:rPr>
                <w:rFonts w:cs="Arial"/>
              </w:rPr>
              <w:t>市政设施</w:t>
            </w:r>
            <w:r>
              <w:rPr>
                <w:rFonts w:hint="eastAsia" w:cs="Arial"/>
              </w:rPr>
              <w:t>和其它配套设施</w:t>
            </w:r>
            <w:r>
              <w:rPr>
                <w:rFonts w:cs="Arial"/>
              </w:rPr>
              <w:t>配置标准汇总</w:t>
            </w:r>
          </w:p>
          <w:p/>
          <w:tbl>
            <w:tblPr>
              <w:tblStyle w:val="7"/>
              <w:tblW w:w="49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50"/>
              <w:gridCol w:w="427"/>
              <w:gridCol w:w="795"/>
              <w:gridCol w:w="1074"/>
              <w:gridCol w:w="1636"/>
              <w:gridCol w:w="1080"/>
              <w:gridCol w:w="671"/>
              <w:gridCol w:w="671"/>
              <w:gridCol w:w="2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restart"/>
                  <w:vAlign w:val="center"/>
                </w:tcPr>
                <w:p>
                  <w:pPr>
                    <w:pStyle w:val="10"/>
                    <w:jc w:val="center"/>
                    <w:rPr>
                      <w:rFonts w:cs="Arial"/>
                      <w:lang w:val="en-US"/>
                    </w:rPr>
                  </w:pPr>
                  <w:r>
                    <w:rPr>
                      <w:rFonts w:hint="eastAsia" w:cs="Arial"/>
                      <w:lang w:val="en-US"/>
                    </w:rPr>
                    <w:t>类别</w:t>
                  </w:r>
                </w:p>
              </w:tc>
              <w:tc>
                <w:tcPr>
                  <w:tcW w:w="223" w:type="pct"/>
                  <w:vMerge w:val="restart"/>
                  <w:vAlign w:val="center"/>
                </w:tcPr>
                <w:p>
                  <w:pPr>
                    <w:pStyle w:val="10"/>
                    <w:jc w:val="center"/>
                    <w:rPr>
                      <w:rFonts w:cs="Arial"/>
                      <w:lang w:val="en-US"/>
                    </w:rPr>
                  </w:pPr>
                  <w:r>
                    <w:rPr>
                      <w:rFonts w:cs="Arial"/>
                      <w:lang w:val="en-US"/>
                    </w:rPr>
                    <w:t>序号</w:t>
                  </w:r>
                </w:p>
              </w:tc>
              <w:tc>
                <w:tcPr>
                  <w:tcW w:w="604" w:type="pct"/>
                  <w:gridSpan w:val="2"/>
                  <w:vMerge w:val="restart"/>
                  <w:vAlign w:val="center"/>
                </w:tcPr>
                <w:p>
                  <w:pPr>
                    <w:pStyle w:val="10"/>
                    <w:jc w:val="center"/>
                    <w:rPr>
                      <w:rFonts w:cs="Arial"/>
                      <w:lang w:val="en-US"/>
                    </w:rPr>
                  </w:pPr>
                  <w:r>
                    <w:rPr>
                      <w:rFonts w:cs="Arial"/>
                      <w:lang w:val="en-US"/>
                    </w:rPr>
                    <w:t>项目名称</w:t>
                  </w:r>
                </w:p>
              </w:tc>
              <w:tc>
                <w:tcPr>
                  <w:tcW w:w="1340" w:type="pct"/>
                  <w:gridSpan w:val="2"/>
                  <w:vAlign w:val="center"/>
                </w:tcPr>
                <w:p>
                  <w:pPr>
                    <w:pStyle w:val="10"/>
                    <w:jc w:val="center"/>
                    <w:rPr>
                      <w:rFonts w:cs="Arial"/>
                      <w:lang w:val="en-US"/>
                    </w:rPr>
                  </w:pPr>
                  <w:r>
                    <w:rPr>
                      <w:rFonts w:cs="Arial"/>
                      <w:lang w:val="en-US"/>
                    </w:rPr>
                    <w:t>一般规模（平方米/处）</w:t>
                  </w:r>
                </w:p>
              </w:tc>
              <w:tc>
                <w:tcPr>
                  <w:tcW w:w="534" w:type="pct"/>
                  <w:vMerge w:val="restart"/>
                  <w:shd w:val="clear" w:color="auto" w:fill="FFFFFF"/>
                  <w:vAlign w:val="center"/>
                </w:tcPr>
                <w:p>
                  <w:pPr>
                    <w:pStyle w:val="10"/>
                    <w:jc w:val="center"/>
                    <w:rPr>
                      <w:rFonts w:ascii="楷体_GB2312" w:cs="Arial"/>
                      <w:lang w:val="en-US"/>
                    </w:rPr>
                  </w:pPr>
                  <w:r>
                    <w:rPr>
                      <w:rFonts w:cs="Arial"/>
                      <w:lang w:val="en-US"/>
                    </w:rPr>
                    <w:t>服务规模（万人）</w:t>
                  </w:r>
                </w:p>
              </w:tc>
              <w:tc>
                <w:tcPr>
                  <w:tcW w:w="332" w:type="pct"/>
                  <w:vMerge w:val="restart"/>
                  <w:vAlign w:val="center"/>
                </w:tcPr>
                <w:p>
                  <w:pPr>
                    <w:pStyle w:val="10"/>
                    <w:jc w:val="center"/>
                    <w:rPr>
                      <w:rFonts w:ascii="楷体_GB2312" w:cs="Arial"/>
                    </w:rPr>
                  </w:pPr>
                  <w:r>
                    <w:rPr>
                      <w:rFonts w:cs="Arial"/>
                      <w:lang w:val="en-US"/>
                    </w:rPr>
                    <w:t>配置规定</w:t>
                  </w:r>
                </w:p>
              </w:tc>
              <w:tc>
                <w:tcPr>
                  <w:tcW w:w="332" w:type="pct"/>
                  <w:vMerge w:val="restart"/>
                  <w:vAlign w:val="center"/>
                </w:tcPr>
                <w:p>
                  <w:pPr>
                    <w:pStyle w:val="10"/>
                    <w:jc w:val="center"/>
                    <w:rPr>
                      <w:rFonts w:cs="Arial"/>
                      <w:lang w:val="en-US"/>
                    </w:rPr>
                  </w:pPr>
                  <w:r>
                    <w:rPr>
                      <w:rFonts w:cs="Arial"/>
                      <w:lang w:val="en-US"/>
                    </w:rPr>
                    <w:t>配置要求</w:t>
                  </w:r>
                </w:p>
              </w:tc>
              <w:tc>
                <w:tcPr>
                  <w:tcW w:w="1425" w:type="pct"/>
                  <w:vMerge w:val="restart"/>
                  <w:vAlign w:val="center"/>
                </w:tcPr>
                <w:p>
                  <w:pPr>
                    <w:pStyle w:val="10"/>
                    <w:jc w:val="center"/>
                    <w:rPr>
                      <w:rFonts w:cs="Arial"/>
                      <w:lang w:val="en-US"/>
                    </w:rPr>
                  </w:pPr>
                  <w:r>
                    <w:rPr>
                      <w:rFonts w:cs="Arial"/>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11" w:type="pct"/>
                  <w:vMerge w:val="continue"/>
                </w:tcPr>
                <w:p>
                  <w:pPr>
                    <w:pStyle w:val="10"/>
                    <w:rPr>
                      <w:rFonts w:cs="Arial"/>
                      <w:lang w:val="en-US"/>
                    </w:rPr>
                  </w:pPr>
                </w:p>
              </w:tc>
              <w:tc>
                <w:tcPr>
                  <w:tcW w:w="223" w:type="pct"/>
                  <w:vMerge w:val="continue"/>
                  <w:vAlign w:val="center"/>
                </w:tcPr>
                <w:p>
                  <w:pPr>
                    <w:pStyle w:val="10"/>
                    <w:rPr>
                      <w:rFonts w:cs="Arial"/>
                      <w:lang w:val="en-US"/>
                    </w:rPr>
                  </w:pPr>
                </w:p>
              </w:tc>
              <w:tc>
                <w:tcPr>
                  <w:tcW w:w="604" w:type="pct"/>
                  <w:gridSpan w:val="2"/>
                  <w:vMerge w:val="continue"/>
                  <w:vAlign w:val="center"/>
                </w:tcPr>
                <w:p>
                  <w:pPr>
                    <w:pStyle w:val="10"/>
                    <w:rPr>
                      <w:rFonts w:cs="Arial"/>
                      <w:lang w:val="en-US"/>
                    </w:rPr>
                  </w:pPr>
                </w:p>
              </w:tc>
              <w:tc>
                <w:tcPr>
                  <w:tcW w:w="531" w:type="pct"/>
                  <w:vAlign w:val="center"/>
                </w:tcPr>
                <w:p>
                  <w:pPr>
                    <w:pStyle w:val="10"/>
                    <w:rPr>
                      <w:rFonts w:cs="Arial"/>
                      <w:lang w:val="en-US"/>
                    </w:rPr>
                  </w:pPr>
                  <w:r>
                    <w:rPr>
                      <w:rFonts w:cs="Arial"/>
                      <w:lang w:val="en-US"/>
                    </w:rPr>
                    <w:t>建筑面积</w:t>
                  </w:r>
                </w:p>
              </w:tc>
              <w:tc>
                <w:tcPr>
                  <w:tcW w:w="809" w:type="pct"/>
                  <w:vAlign w:val="center"/>
                </w:tcPr>
                <w:p>
                  <w:pPr>
                    <w:pStyle w:val="10"/>
                    <w:rPr>
                      <w:rFonts w:cs="Arial"/>
                      <w:lang w:val="en-US"/>
                    </w:rPr>
                  </w:pPr>
                  <w:r>
                    <w:rPr>
                      <w:rFonts w:cs="Arial"/>
                      <w:lang w:val="en-US"/>
                    </w:rPr>
                    <w:t>用地面积</w:t>
                  </w:r>
                </w:p>
              </w:tc>
              <w:tc>
                <w:tcPr>
                  <w:tcW w:w="534" w:type="pct"/>
                  <w:vMerge w:val="continue"/>
                  <w:shd w:val="clear" w:color="auto" w:fill="FFFFFF"/>
                  <w:vAlign w:val="center"/>
                </w:tcPr>
                <w:p>
                  <w:pPr>
                    <w:pStyle w:val="10"/>
                    <w:rPr>
                      <w:rFonts w:cs="Arial"/>
                      <w:lang w:val="en-US"/>
                    </w:rPr>
                  </w:pPr>
                </w:p>
              </w:tc>
              <w:tc>
                <w:tcPr>
                  <w:tcW w:w="332" w:type="pct"/>
                  <w:vMerge w:val="continue"/>
                  <w:vAlign w:val="center"/>
                </w:tcPr>
                <w:p>
                  <w:pPr>
                    <w:pStyle w:val="10"/>
                    <w:rPr>
                      <w:rFonts w:cs="Arial"/>
                      <w:lang w:val="en-US"/>
                    </w:rPr>
                  </w:pPr>
                </w:p>
              </w:tc>
              <w:tc>
                <w:tcPr>
                  <w:tcW w:w="332" w:type="pct"/>
                  <w:vMerge w:val="continue"/>
                  <w:vAlign w:val="center"/>
                </w:tcPr>
                <w:p>
                  <w:pPr>
                    <w:pStyle w:val="10"/>
                    <w:rPr>
                      <w:rFonts w:cs="Arial"/>
                      <w:lang w:val="en-US"/>
                    </w:rPr>
                  </w:pPr>
                </w:p>
              </w:tc>
              <w:tc>
                <w:tcPr>
                  <w:tcW w:w="1425" w:type="pct"/>
                  <w:vMerge w:val="continue"/>
                  <w:vAlign w:val="center"/>
                </w:tcPr>
                <w:p>
                  <w:pPr>
                    <w:pStyle w:val="10"/>
                    <w:jc w:val="left"/>
                    <w:rPr>
                      <w:rFonts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11" w:type="pct"/>
                  <w:vMerge w:val="restart"/>
                </w:tcPr>
                <w:p>
                  <w:pPr>
                    <w:pStyle w:val="10"/>
                    <w:jc w:val="center"/>
                    <w:rPr>
                      <w:rFonts w:cs="Arial"/>
                      <w:lang w:val="en-US"/>
                    </w:rPr>
                  </w:pPr>
                  <w:r>
                    <w:rPr>
                      <w:rFonts w:hint="eastAsia" w:cs="Arial"/>
                      <w:lang w:val="en-US"/>
                    </w:rPr>
                    <w:t>教育设施</w:t>
                  </w:r>
                </w:p>
              </w:tc>
              <w:tc>
                <w:tcPr>
                  <w:tcW w:w="223" w:type="pct"/>
                  <w:vMerge w:val="restart"/>
                  <w:vAlign w:val="center"/>
                </w:tcPr>
                <w:p>
                  <w:pPr>
                    <w:pStyle w:val="10"/>
                    <w:jc w:val="center"/>
                    <w:rPr>
                      <w:rFonts w:cs="Arial"/>
                      <w:lang w:val="en-US"/>
                    </w:rPr>
                  </w:pPr>
                  <w:r>
                    <w:rPr>
                      <w:rFonts w:cs="Arial"/>
                      <w:lang w:val="en-US"/>
                    </w:rPr>
                    <w:t>16</w:t>
                  </w:r>
                </w:p>
              </w:tc>
              <w:tc>
                <w:tcPr>
                  <w:tcW w:w="211" w:type="pct"/>
                  <w:vMerge w:val="restart"/>
                  <w:vAlign w:val="center"/>
                </w:tcPr>
                <w:p>
                  <w:pPr>
                    <w:pStyle w:val="10"/>
                    <w:jc w:val="center"/>
                    <w:rPr>
                      <w:rFonts w:cs="Arial"/>
                      <w:lang w:val="en-US"/>
                    </w:rPr>
                  </w:pPr>
                  <w:r>
                    <w:rPr>
                      <w:rFonts w:hint="eastAsia" w:cs="Arial"/>
                      <w:lang w:val="en-US"/>
                    </w:rPr>
                    <w:t>幼儿园</w:t>
                  </w:r>
                </w:p>
              </w:tc>
              <w:tc>
                <w:tcPr>
                  <w:tcW w:w="392" w:type="pct"/>
                  <w:vAlign w:val="center"/>
                </w:tcPr>
                <w:p>
                  <w:pPr>
                    <w:pStyle w:val="10"/>
                    <w:jc w:val="center"/>
                    <w:rPr>
                      <w:rFonts w:cs="Arial"/>
                      <w:lang w:val="en-US"/>
                    </w:rPr>
                  </w:pPr>
                  <w:r>
                    <w:rPr>
                      <w:color w:val="000000" w:themeColor="text1"/>
                      <w:sz w:val="20"/>
                      <w:szCs w:val="20"/>
                      <w14:textFill>
                        <w14:solidFill>
                          <w14:schemeClr w14:val="tx1"/>
                        </w14:solidFill>
                      </w14:textFill>
                    </w:rPr>
                    <w:t>6</w:t>
                  </w:r>
                  <w:r>
                    <w:rPr>
                      <w:rFonts w:hint="eastAsia"/>
                      <w:color w:val="000000" w:themeColor="text1"/>
                      <w:sz w:val="20"/>
                      <w:szCs w:val="20"/>
                      <w14:textFill>
                        <w14:solidFill>
                          <w14:schemeClr w14:val="tx1"/>
                        </w14:solidFill>
                      </w14:textFill>
                    </w:rPr>
                    <w:t>班</w:t>
                  </w:r>
                </w:p>
              </w:tc>
              <w:tc>
                <w:tcPr>
                  <w:tcW w:w="531" w:type="pct"/>
                  <w:vAlign w:val="center"/>
                </w:tcPr>
                <w:p>
                  <w:pPr>
                    <w:pStyle w:val="10"/>
                    <w:jc w:val="center"/>
                    <w:rPr>
                      <w:rFonts w:ascii="楷体_GB2312" w:cs="Arial"/>
                    </w:rPr>
                  </w:pPr>
                  <w:r>
                    <w:rPr>
                      <w:rFonts w:hint="eastAsia"/>
                      <w:color w:val="000000" w:themeColor="text1"/>
                      <w:sz w:val="20"/>
                      <w:szCs w:val="20"/>
                      <w14:textFill>
                        <w14:solidFill>
                          <w14:schemeClr w14:val="tx1"/>
                        </w14:solidFill>
                      </w14:textFill>
                    </w:rPr>
                    <w:t>－</w:t>
                  </w:r>
                </w:p>
              </w:tc>
              <w:tc>
                <w:tcPr>
                  <w:tcW w:w="809" w:type="pct"/>
                  <w:vAlign w:val="center"/>
                </w:tcPr>
                <w:p>
                  <w:pPr>
                    <w:pStyle w:val="10"/>
                    <w:jc w:val="center"/>
                    <w:rPr>
                      <w:rFonts w:cs="Arial"/>
                      <w:lang w:val="en-US"/>
                    </w:rPr>
                  </w:pPr>
                  <w:r>
                    <w:rPr>
                      <w:rFonts w:cs="Arial"/>
                      <w:color w:val="000000" w:themeColor="text1"/>
                      <w:sz w:val="20"/>
                      <w:szCs w:val="20"/>
                      <w14:textFill>
                        <w14:solidFill>
                          <w14:schemeClr w14:val="tx1"/>
                        </w14:solidFill>
                      </w14:textFill>
                    </w:rPr>
                    <w:t>1800</w:t>
                  </w:r>
                  <w:r>
                    <w:rPr>
                      <w:rFonts w:hint="eastAsia"/>
                      <w:color w:val="000000" w:themeColor="text1"/>
                      <w:sz w:val="20"/>
                      <w:szCs w:val="20"/>
                      <w14:textFill>
                        <w14:solidFill>
                          <w14:schemeClr w14:val="tx1"/>
                        </w14:solidFill>
                      </w14:textFill>
                    </w:rPr>
                    <w:t>～</w:t>
                  </w:r>
                  <w:r>
                    <w:rPr>
                      <w:color w:val="000000" w:themeColor="text1"/>
                      <w:sz w:val="20"/>
                      <w:szCs w:val="20"/>
                      <w14:textFill>
                        <w14:solidFill>
                          <w14:schemeClr w14:val="tx1"/>
                        </w14:solidFill>
                      </w14:textFill>
                    </w:rPr>
                    <w:t>2100</w:t>
                  </w:r>
                </w:p>
              </w:tc>
              <w:tc>
                <w:tcPr>
                  <w:tcW w:w="534" w:type="pct"/>
                  <w:shd w:val="clear" w:color="auto" w:fill="FFFFFF"/>
                  <w:vAlign w:val="center"/>
                </w:tcPr>
                <w:p>
                  <w:pPr>
                    <w:pStyle w:val="10"/>
                    <w:jc w:val="center"/>
                    <w:rPr>
                      <w:rFonts w:ascii="楷体_GB2312" w:cs="Arial"/>
                      <w:lang w:val="en-US"/>
                    </w:rPr>
                  </w:pPr>
                  <w:r>
                    <w:rPr>
                      <w:color w:val="000000" w:themeColor="text1"/>
                      <w:sz w:val="20"/>
                      <w:szCs w:val="20"/>
                      <w14:textFill>
                        <w14:solidFill>
                          <w14:schemeClr w14:val="tx1"/>
                        </w14:solidFill>
                      </w14:textFill>
                    </w:rPr>
                    <w:t>&lt;0.4</w:t>
                  </w:r>
                </w:p>
              </w:tc>
              <w:tc>
                <w:tcPr>
                  <w:tcW w:w="332" w:type="pct"/>
                  <w:vMerge w:val="restart"/>
                  <w:vAlign w:val="center"/>
                </w:tcPr>
                <w:p>
                  <w:pPr>
                    <w:pStyle w:val="10"/>
                    <w:jc w:val="center"/>
                    <w:rPr>
                      <w:rFonts w:cs="Arial"/>
                      <w:lang w:val="en-US"/>
                    </w:rPr>
                  </w:pPr>
                  <w:r>
                    <w:rPr>
                      <w:rFonts w:hint="eastAsia" w:ascii="楷体" w:hAnsi="楷体" w:eastAsia="楷体" w:cstheme="minorBidi"/>
                      <w:color w:val="000000" w:themeColor="text1"/>
                      <w:sz w:val="22"/>
                      <w14:textFill>
                        <w14:solidFill>
                          <w14:schemeClr w14:val="tx1"/>
                        </w14:solidFill>
                      </w14:textFill>
                    </w:rPr>
                    <w:t>－</w:t>
                  </w:r>
                </w:p>
              </w:tc>
              <w:tc>
                <w:tcPr>
                  <w:tcW w:w="332" w:type="pct"/>
                  <w:vMerge w:val="restart"/>
                  <w:vAlign w:val="center"/>
                </w:tcPr>
                <w:p>
                  <w:pPr>
                    <w:pStyle w:val="10"/>
                    <w:jc w:val="center"/>
                    <w:rPr>
                      <w:rFonts w:cs="Arial"/>
                      <w:lang w:val="en-US"/>
                    </w:rPr>
                  </w:pPr>
                  <w:r>
                    <w:rPr>
                      <w:rFonts w:cs="Arial"/>
                      <w:lang w:val="en-US"/>
                    </w:rPr>
                    <w:t>●</w:t>
                  </w:r>
                </w:p>
              </w:tc>
              <w:tc>
                <w:tcPr>
                  <w:tcW w:w="1425" w:type="pct"/>
                  <w:vMerge w:val="restart"/>
                  <w:vAlign w:val="center"/>
                </w:tcPr>
                <w:p>
                  <w:pPr>
                    <w:pStyle w:val="10"/>
                    <w:rPr>
                      <w:rFonts w:cs="Arial"/>
                      <w:lang w:val="en-US"/>
                    </w:rPr>
                  </w:pPr>
                  <w:r>
                    <w:rPr>
                      <w:rFonts w:hint="eastAsia" w:cs="Arial"/>
                      <w:lang w:val="en-US"/>
                    </w:rPr>
                    <w:t>幼（托）儿园宜设</w:t>
                  </w:r>
                  <w:r>
                    <w:rPr>
                      <w:rFonts w:cs="Arial"/>
                      <w:lang w:val="en-US"/>
                    </w:rPr>
                    <w:t>9班、12班或18班，每班30座。幼（托）儿园应按其服务范围均衡分布，服务半径宜为300米～500米。</w:t>
                  </w:r>
                  <w:r>
                    <w:rPr>
                      <w:rFonts w:cs="Arial"/>
                      <w:lang w:val="en-US"/>
                    </w:rPr>
                    <w:br w:type="textWrapping"/>
                  </w:r>
                  <w:r>
                    <w:rPr>
                      <w:rFonts w:cs="Arial"/>
                      <w:lang w:val="en-US"/>
                    </w:rPr>
                    <w:t>幼（托）儿园应独立占地，有独立院落和出入口。幼（托）儿园应设全园共享的室外活动场地，全园共用室外活动场地人均面积不应小于2平方米。同时应设置各班专用的室外游戏场地，场地应日照充足并采取分隔措施，场地面积不应小于60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211" w:type="pct"/>
                  <w:vMerge w:val="continue"/>
                </w:tcPr>
                <w:p>
                  <w:pPr>
                    <w:pStyle w:val="10"/>
                    <w:rPr>
                      <w:rFonts w:cs="Arial"/>
                      <w:lang w:val="en-US"/>
                    </w:rPr>
                  </w:pPr>
                </w:p>
              </w:tc>
              <w:tc>
                <w:tcPr>
                  <w:tcW w:w="223" w:type="pct"/>
                  <w:vMerge w:val="continue"/>
                  <w:vAlign w:val="center"/>
                </w:tcPr>
                <w:p>
                  <w:pPr>
                    <w:pStyle w:val="10"/>
                    <w:rPr>
                      <w:rFonts w:cs="Arial"/>
                      <w:lang w:val="en-US"/>
                    </w:rPr>
                  </w:pPr>
                </w:p>
              </w:tc>
              <w:tc>
                <w:tcPr>
                  <w:tcW w:w="211" w:type="pct"/>
                  <w:vMerge w:val="continue"/>
                  <w:vAlign w:val="center"/>
                </w:tcPr>
                <w:p>
                  <w:pPr>
                    <w:pStyle w:val="10"/>
                    <w:rPr>
                      <w:rFonts w:cs="Arial"/>
                      <w:lang w:val="en-US"/>
                    </w:rPr>
                  </w:pPr>
                </w:p>
              </w:tc>
              <w:tc>
                <w:tcPr>
                  <w:tcW w:w="392" w:type="pct"/>
                  <w:vAlign w:val="center"/>
                </w:tcPr>
                <w:p>
                  <w:pPr>
                    <w:pStyle w:val="10"/>
                    <w:jc w:val="center"/>
                    <w:rPr>
                      <w:rFonts w:cs="Arial"/>
                      <w:lang w:val="en-US"/>
                    </w:rPr>
                  </w:pPr>
                  <w:r>
                    <w:rPr>
                      <w:color w:val="000000" w:themeColor="text1"/>
                      <w:sz w:val="20"/>
                      <w:szCs w:val="20"/>
                      <w14:textFill>
                        <w14:solidFill>
                          <w14:schemeClr w14:val="tx1"/>
                        </w14:solidFill>
                      </w14:textFill>
                    </w:rPr>
                    <w:t>9</w:t>
                  </w:r>
                  <w:r>
                    <w:rPr>
                      <w:rFonts w:hint="eastAsia"/>
                      <w:color w:val="000000" w:themeColor="text1"/>
                      <w:sz w:val="20"/>
                      <w:szCs w:val="20"/>
                      <w14:textFill>
                        <w14:solidFill>
                          <w14:schemeClr w14:val="tx1"/>
                        </w14:solidFill>
                      </w14:textFill>
                    </w:rPr>
                    <w:t>班</w:t>
                  </w:r>
                </w:p>
              </w:tc>
              <w:tc>
                <w:tcPr>
                  <w:tcW w:w="531" w:type="pct"/>
                  <w:vAlign w:val="center"/>
                </w:tcPr>
                <w:p>
                  <w:pPr>
                    <w:pStyle w:val="10"/>
                    <w:jc w:val="center"/>
                    <w:rPr>
                      <w:rFonts w:ascii="楷体" w:hAnsi="楷体" w:eastAsia="楷体" w:cstheme="minorBidi"/>
                      <w:color w:val="000000" w:themeColor="text1"/>
                      <w:sz w:val="22"/>
                      <w14:textFill>
                        <w14:solidFill>
                          <w14:schemeClr w14:val="tx1"/>
                        </w14:solidFill>
                      </w14:textFill>
                    </w:rPr>
                  </w:pPr>
                  <w:r>
                    <w:rPr>
                      <w:rFonts w:hint="eastAsia"/>
                      <w:color w:val="000000" w:themeColor="text1"/>
                      <w:sz w:val="20"/>
                      <w:szCs w:val="20"/>
                      <w14:textFill>
                        <w14:solidFill>
                          <w14:schemeClr w14:val="tx1"/>
                        </w14:solidFill>
                      </w14:textFill>
                    </w:rPr>
                    <w:t>－</w:t>
                  </w:r>
                </w:p>
              </w:tc>
              <w:tc>
                <w:tcPr>
                  <w:tcW w:w="809" w:type="pct"/>
                  <w:vAlign w:val="center"/>
                </w:tcPr>
                <w:p>
                  <w:pPr>
                    <w:pStyle w:val="10"/>
                    <w:jc w:val="center"/>
                    <w:rPr>
                      <w:rFonts w:cs="Arial"/>
                      <w:lang w:val="en-US"/>
                    </w:rPr>
                  </w:pPr>
                  <w:r>
                    <w:rPr>
                      <w:color w:val="000000" w:themeColor="text1"/>
                      <w:sz w:val="20"/>
                      <w:szCs w:val="20"/>
                      <w14:textFill>
                        <w14:solidFill>
                          <w14:schemeClr w14:val="tx1"/>
                        </w14:solidFill>
                      </w14:textFill>
                    </w:rPr>
                    <w:t>2700</w:t>
                  </w:r>
                  <w:r>
                    <w:rPr>
                      <w:rFonts w:hint="eastAsia"/>
                      <w:color w:val="000000" w:themeColor="text1"/>
                      <w:sz w:val="20"/>
                      <w:szCs w:val="20"/>
                      <w14:textFill>
                        <w14:solidFill>
                          <w14:schemeClr w14:val="tx1"/>
                        </w14:solidFill>
                      </w14:textFill>
                    </w:rPr>
                    <w:t>～</w:t>
                  </w:r>
                  <w:r>
                    <w:rPr>
                      <w:color w:val="000000" w:themeColor="text1"/>
                      <w:sz w:val="20"/>
                      <w:szCs w:val="20"/>
                      <w14:textFill>
                        <w14:solidFill>
                          <w14:schemeClr w14:val="tx1"/>
                        </w14:solidFill>
                      </w14:textFill>
                    </w:rPr>
                    <w:t>3200</w:t>
                  </w:r>
                </w:p>
              </w:tc>
              <w:tc>
                <w:tcPr>
                  <w:tcW w:w="534" w:type="pct"/>
                  <w:shd w:val="clear" w:color="auto" w:fill="FFFFFF"/>
                  <w:vAlign w:val="center"/>
                </w:tcPr>
                <w:p>
                  <w:pPr>
                    <w:pStyle w:val="10"/>
                    <w:jc w:val="center"/>
                    <w:rPr>
                      <w:rFonts w:ascii="楷体" w:hAnsi="楷体" w:eastAsia="楷体" w:cstheme="minorBidi"/>
                      <w:color w:val="000000" w:themeColor="text1"/>
                      <w:sz w:val="22"/>
                      <w14:textFill>
                        <w14:solidFill>
                          <w14:schemeClr w14:val="tx1"/>
                        </w14:solidFill>
                      </w14:textFill>
                    </w:rPr>
                  </w:pPr>
                  <w:r>
                    <w:rPr>
                      <w:color w:val="000000" w:themeColor="text1"/>
                      <w:sz w:val="20"/>
                      <w:szCs w:val="20"/>
                      <w14:textFill>
                        <w14:solidFill>
                          <w14:schemeClr w14:val="tx1"/>
                        </w14:solidFill>
                      </w14:textFill>
                    </w:rPr>
                    <w:t>0.4</w:t>
                  </w:r>
                  <w:r>
                    <w:rPr>
                      <w:rFonts w:hint="eastAsia"/>
                      <w:color w:val="000000" w:themeColor="text1"/>
                      <w:sz w:val="20"/>
                      <w:szCs w:val="20"/>
                      <w14:textFill>
                        <w14:solidFill>
                          <w14:schemeClr w14:val="tx1"/>
                        </w14:solidFill>
                      </w14:textFill>
                    </w:rPr>
                    <w:t>～</w:t>
                  </w:r>
                  <w:r>
                    <w:rPr>
                      <w:color w:val="000000" w:themeColor="text1"/>
                      <w:sz w:val="20"/>
                      <w:szCs w:val="20"/>
                      <w14:textFill>
                        <w14:solidFill>
                          <w14:schemeClr w14:val="tx1"/>
                        </w14:solidFill>
                      </w14:textFill>
                    </w:rPr>
                    <w:t>0.7</w:t>
                  </w:r>
                </w:p>
              </w:tc>
              <w:tc>
                <w:tcPr>
                  <w:tcW w:w="332" w:type="pct"/>
                  <w:vMerge w:val="continue"/>
                  <w:vAlign w:val="center"/>
                </w:tcPr>
                <w:p>
                  <w:pPr>
                    <w:pStyle w:val="10"/>
                    <w:rPr>
                      <w:rFonts w:ascii="楷体" w:hAnsi="楷体" w:eastAsia="楷体" w:cstheme="minorBidi"/>
                      <w:color w:val="000000" w:themeColor="text1"/>
                      <w:sz w:val="22"/>
                      <w14:textFill>
                        <w14:solidFill>
                          <w14:schemeClr w14:val="tx1"/>
                        </w14:solidFill>
                      </w14:textFill>
                    </w:rPr>
                  </w:pPr>
                </w:p>
              </w:tc>
              <w:tc>
                <w:tcPr>
                  <w:tcW w:w="332" w:type="pct"/>
                  <w:vMerge w:val="continue"/>
                  <w:vAlign w:val="center"/>
                </w:tcPr>
                <w:p>
                  <w:pPr>
                    <w:pStyle w:val="10"/>
                    <w:rPr>
                      <w:rFonts w:cs="Arial"/>
                      <w:lang w:val="en-US"/>
                    </w:rPr>
                  </w:pPr>
                </w:p>
              </w:tc>
              <w:tc>
                <w:tcPr>
                  <w:tcW w:w="1425" w:type="pct"/>
                  <w:vMerge w:val="continue"/>
                  <w:vAlign w:val="center"/>
                </w:tcPr>
                <w:p>
                  <w:pPr>
                    <w:pStyle w:val="10"/>
                    <w:rPr>
                      <w:rFonts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11" w:type="pct"/>
                  <w:vMerge w:val="continue"/>
                </w:tcPr>
                <w:p>
                  <w:pPr>
                    <w:pStyle w:val="10"/>
                    <w:rPr>
                      <w:rFonts w:cs="Arial"/>
                      <w:lang w:val="en-US"/>
                    </w:rPr>
                  </w:pPr>
                </w:p>
              </w:tc>
              <w:tc>
                <w:tcPr>
                  <w:tcW w:w="223" w:type="pct"/>
                  <w:vMerge w:val="continue"/>
                  <w:vAlign w:val="center"/>
                </w:tcPr>
                <w:p>
                  <w:pPr>
                    <w:pStyle w:val="10"/>
                    <w:rPr>
                      <w:rFonts w:cs="Arial"/>
                      <w:lang w:val="en-US"/>
                    </w:rPr>
                  </w:pPr>
                </w:p>
              </w:tc>
              <w:tc>
                <w:tcPr>
                  <w:tcW w:w="211" w:type="pct"/>
                  <w:vMerge w:val="continue"/>
                  <w:vAlign w:val="center"/>
                </w:tcPr>
                <w:p>
                  <w:pPr>
                    <w:pStyle w:val="10"/>
                    <w:rPr>
                      <w:rFonts w:cs="Arial"/>
                      <w:lang w:val="en-US"/>
                    </w:rPr>
                  </w:pPr>
                </w:p>
              </w:tc>
              <w:tc>
                <w:tcPr>
                  <w:tcW w:w="392" w:type="pct"/>
                  <w:vAlign w:val="center"/>
                </w:tcPr>
                <w:p>
                  <w:pPr>
                    <w:pStyle w:val="10"/>
                    <w:jc w:val="center"/>
                    <w:rPr>
                      <w:rFonts w:cs="Arial"/>
                      <w:lang w:val="en-US"/>
                    </w:rPr>
                  </w:pPr>
                  <w:r>
                    <w:rPr>
                      <w:color w:val="000000" w:themeColor="text1"/>
                      <w:sz w:val="20"/>
                      <w:szCs w:val="20"/>
                      <w14:textFill>
                        <w14:solidFill>
                          <w14:schemeClr w14:val="tx1"/>
                        </w14:solidFill>
                      </w14:textFill>
                    </w:rPr>
                    <w:t>12</w:t>
                  </w:r>
                  <w:r>
                    <w:rPr>
                      <w:rFonts w:hint="eastAsia"/>
                      <w:color w:val="000000" w:themeColor="text1"/>
                      <w:sz w:val="20"/>
                      <w:szCs w:val="20"/>
                      <w14:textFill>
                        <w14:solidFill>
                          <w14:schemeClr w14:val="tx1"/>
                        </w14:solidFill>
                      </w14:textFill>
                    </w:rPr>
                    <w:t>班</w:t>
                  </w:r>
                </w:p>
              </w:tc>
              <w:tc>
                <w:tcPr>
                  <w:tcW w:w="531" w:type="pct"/>
                  <w:vAlign w:val="center"/>
                </w:tcPr>
                <w:p>
                  <w:pPr>
                    <w:pStyle w:val="10"/>
                    <w:jc w:val="center"/>
                    <w:rPr>
                      <w:rFonts w:ascii="楷体_GB2312" w:cs="Arial"/>
                    </w:rPr>
                  </w:pPr>
                  <w:r>
                    <w:rPr>
                      <w:rFonts w:hint="eastAsia"/>
                      <w:color w:val="000000" w:themeColor="text1"/>
                      <w:sz w:val="20"/>
                      <w:szCs w:val="20"/>
                      <w14:textFill>
                        <w14:solidFill>
                          <w14:schemeClr w14:val="tx1"/>
                        </w14:solidFill>
                      </w14:textFill>
                    </w:rPr>
                    <w:t>－</w:t>
                  </w:r>
                </w:p>
              </w:tc>
              <w:tc>
                <w:tcPr>
                  <w:tcW w:w="809" w:type="pct"/>
                  <w:vAlign w:val="center"/>
                </w:tcPr>
                <w:p>
                  <w:pPr>
                    <w:pStyle w:val="10"/>
                    <w:jc w:val="center"/>
                    <w:rPr>
                      <w:rFonts w:cs="Arial"/>
                      <w:lang w:val="en-US"/>
                    </w:rPr>
                  </w:pPr>
                  <w:r>
                    <w:rPr>
                      <w:color w:val="000000" w:themeColor="text1"/>
                      <w:sz w:val="20"/>
                      <w:szCs w:val="20"/>
                      <w14:textFill>
                        <w14:solidFill>
                          <w14:schemeClr w14:val="tx1"/>
                        </w14:solidFill>
                      </w14:textFill>
                    </w:rPr>
                    <w:t>3600</w:t>
                  </w:r>
                  <w:r>
                    <w:rPr>
                      <w:rFonts w:hint="eastAsia"/>
                      <w:color w:val="000000" w:themeColor="text1"/>
                      <w:sz w:val="20"/>
                      <w:szCs w:val="20"/>
                      <w14:textFill>
                        <w14:solidFill>
                          <w14:schemeClr w14:val="tx1"/>
                        </w14:solidFill>
                      </w14:textFill>
                    </w:rPr>
                    <w:t>～</w:t>
                  </w:r>
                  <w:r>
                    <w:rPr>
                      <w:color w:val="000000" w:themeColor="text1"/>
                      <w:sz w:val="20"/>
                      <w:szCs w:val="20"/>
                      <w14:textFill>
                        <w14:solidFill>
                          <w14:schemeClr w14:val="tx1"/>
                        </w14:solidFill>
                      </w14:textFill>
                    </w:rPr>
                    <w:t>4300</w:t>
                  </w:r>
                </w:p>
              </w:tc>
              <w:tc>
                <w:tcPr>
                  <w:tcW w:w="534" w:type="pct"/>
                  <w:shd w:val="clear" w:color="auto" w:fill="FFFFFF"/>
                  <w:vAlign w:val="center"/>
                </w:tcPr>
                <w:p>
                  <w:pPr>
                    <w:pStyle w:val="10"/>
                    <w:jc w:val="center"/>
                    <w:rPr>
                      <w:rFonts w:ascii="楷体_GB2312" w:cs="Arial"/>
                      <w:lang w:val="en-US"/>
                    </w:rPr>
                  </w:pPr>
                  <w:r>
                    <w:rPr>
                      <w:color w:val="000000" w:themeColor="text1"/>
                      <w:sz w:val="20"/>
                      <w:szCs w:val="20"/>
                      <w14:textFill>
                        <w14:solidFill>
                          <w14:schemeClr w14:val="tx1"/>
                        </w14:solidFill>
                      </w14:textFill>
                    </w:rPr>
                    <w:t>0.7</w:t>
                  </w:r>
                  <w:r>
                    <w:rPr>
                      <w:rFonts w:hint="eastAsia"/>
                      <w:color w:val="000000" w:themeColor="text1"/>
                      <w:sz w:val="20"/>
                      <w:szCs w:val="20"/>
                      <w14:textFill>
                        <w14:solidFill>
                          <w14:schemeClr w14:val="tx1"/>
                        </w14:solidFill>
                      </w14:textFill>
                    </w:rPr>
                    <w:t>～</w:t>
                  </w:r>
                  <w:r>
                    <w:rPr>
                      <w:color w:val="000000" w:themeColor="text1"/>
                      <w:sz w:val="20"/>
                      <w:szCs w:val="20"/>
                      <w14:textFill>
                        <w14:solidFill>
                          <w14:schemeClr w14:val="tx1"/>
                        </w14:solidFill>
                      </w14:textFill>
                    </w:rPr>
                    <w:t>0.9</w:t>
                  </w:r>
                </w:p>
              </w:tc>
              <w:tc>
                <w:tcPr>
                  <w:tcW w:w="332" w:type="pct"/>
                  <w:vMerge w:val="continue"/>
                  <w:vAlign w:val="center"/>
                </w:tcPr>
                <w:p>
                  <w:pPr>
                    <w:pStyle w:val="10"/>
                    <w:rPr>
                      <w:rFonts w:cs="Arial"/>
                      <w:lang w:val="en-US"/>
                    </w:rPr>
                  </w:pPr>
                </w:p>
              </w:tc>
              <w:tc>
                <w:tcPr>
                  <w:tcW w:w="332" w:type="pct"/>
                  <w:vMerge w:val="continue"/>
                  <w:vAlign w:val="center"/>
                </w:tcPr>
                <w:p>
                  <w:pPr>
                    <w:pStyle w:val="10"/>
                    <w:rPr>
                      <w:rFonts w:cs="Arial"/>
                      <w:lang w:val="en-US"/>
                    </w:rPr>
                  </w:pPr>
                </w:p>
              </w:tc>
              <w:tc>
                <w:tcPr>
                  <w:tcW w:w="1425" w:type="pct"/>
                  <w:vMerge w:val="continue"/>
                </w:tcPr>
                <w:p>
                  <w:pPr>
                    <w:pStyle w:val="10"/>
                    <w:rPr>
                      <w:rFonts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211" w:type="pct"/>
                  <w:vMerge w:val="continue"/>
                </w:tcPr>
                <w:p>
                  <w:pPr>
                    <w:pStyle w:val="10"/>
                    <w:rPr>
                      <w:rFonts w:cs="Arial"/>
                      <w:lang w:val="en-US"/>
                    </w:rPr>
                  </w:pPr>
                </w:p>
              </w:tc>
              <w:tc>
                <w:tcPr>
                  <w:tcW w:w="223" w:type="pct"/>
                  <w:vMerge w:val="continue"/>
                  <w:vAlign w:val="center"/>
                </w:tcPr>
                <w:p>
                  <w:pPr>
                    <w:pStyle w:val="10"/>
                    <w:rPr>
                      <w:rFonts w:cs="Arial"/>
                      <w:lang w:val="en-US"/>
                    </w:rPr>
                  </w:pPr>
                </w:p>
              </w:tc>
              <w:tc>
                <w:tcPr>
                  <w:tcW w:w="211" w:type="pct"/>
                  <w:vMerge w:val="continue"/>
                  <w:vAlign w:val="center"/>
                </w:tcPr>
                <w:p>
                  <w:pPr>
                    <w:pStyle w:val="10"/>
                    <w:rPr>
                      <w:rFonts w:cs="Arial"/>
                      <w:lang w:val="en-US"/>
                    </w:rPr>
                  </w:pPr>
                </w:p>
              </w:tc>
              <w:tc>
                <w:tcPr>
                  <w:tcW w:w="392" w:type="pct"/>
                  <w:vAlign w:val="center"/>
                </w:tcPr>
                <w:p>
                  <w:pPr>
                    <w:pStyle w:val="10"/>
                    <w:jc w:val="center"/>
                    <w:rPr>
                      <w:rFonts w:cs="Arial"/>
                      <w:lang w:val="en-US"/>
                    </w:rPr>
                  </w:pPr>
                  <w:r>
                    <w:rPr>
                      <w:color w:val="000000" w:themeColor="text1"/>
                      <w:sz w:val="20"/>
                      <w:szCs w:val="20"/>
                      <w14:textFill>
                        <w14:solidFill>
                          <w14:schemeClr w14:val="tx1"/>
                        </w14:solidFill>
                      </w14:textFill>
                    </w:rPr>
                    <w:t>18</w:t>
                  </w:r>
                  <w:r>
                    <w:rPr>
                      <w:rFonts w:hint="eastAsia"/>
                      <w:color w:val="000000" w:themeColor="text1"/>
                      <w:sz w:val="20"/>
                      <w:szCs w:val="20"/>
                      <w14:textFill>
                        <w14:solidFill>
                          <w14:schemeClr w14:val="tx1"/>
                        </w14:solidFill>
                      </w14:textFill>
                    </w:rPr>
                    <w:t>班</w:t>
                  </w:r>
                </w:p>
              </w:tc>
              <w:tc>
                <w:tcPr>
                  <w:tcW w:w="531" w:type="pct"/>
                  <w:vAlign w:val="center"/>
                </w:tcPr>
                <w:p>
                  <w:pPr>
                    <w:pStyle w:val="10"/>
                    <w:jc w:val="center"/>
                    <w:rPr>
                      <w:rFonts w:ascii="楷体_GB2312" w:cs="Arial"/>
                    </w:rPr>
                  </w:pPr>
                  <w:r>
                    <w:rPr>
                      <w:rFonts w:hint="eastAsia"/>
                      <w:color w:val="000000" w:themeColor="text1"/>
                      <w:sz w:val="20"/>
                      <w:szCs w:val="20"/>
                      <w14:textFill>
                        <w14:solidFill>
                          <w14:schemeClr w14:val="tx1"/>
                        </w14:solidFill>
                      </w14:textFill>
                    </w:rPr>
                    <w:t>－</w:t>
                  </w:r>
                </w:p>
              </w:tc>
              <w:tc>
                <w:tcPr>
                  <w:tcW w:w="809" w:type="pct"/>
                  <w:vAlign w:val="center"/>
                </w:tcPr>
                <w:p>
                  <w:pPr>
                    <w:pStyle w:val="10"/>
                    <w:jc w:val="center"/>
                    <w:rPr>
                      <w:rFonts w:cs="Arial"/>
                      <w:lang w:val="en-US"/>
                    </w:rPr>
                  </w:pPr>
                  <w:r>
                    <w:rPr>
                      <w:color w:val="000000" w:themeColor="text1"/>
                      <w:sz w:val="20"/>
                      <w:szCs w:val="20"/>
                      <w14:textFill>
                        <w14:solidFill>
                          <w14:schemeClr w14:val="tx1"/>
                        </w14:solidFill>
                      </w14:textFill>
                    </w:rPr>
                    <w:t>5400</w:t>
                  </w:r>
                  <w:r>
                    <w:rPr>
                      <w:rFonts w:hint="eastAsia"/>
                      <w:color w:val="000000" w:themeColor="text1"/>
                      <w:sz w:val="20"/>
                      <w:szCs w:val="20"/>
                      <w14:textFill>
                        <w14:solidFill>
                          <w14:schemeClr w14:val="tx1"/>
                        </w14:solidFill>
                      </w14:textFill>
                    </w:rPr>
                    <w:t>～</w:t>
                  </w:r>
                  <w:r>
                    <w:rPr>
                      <w:color w:val="000000" w:themeColor="text1"/>
                      <w:sz w:val="20"/>
                      <w:szCs w:val="20"/>
                      <w14:textFill>
                        <w14:solidFill>
                          <w14:schemeClr w14:val="tx1"/>
                        </w14:solidFill>
                      </w14:textFill>
                    </w:rPr>
                    <w:t>6500</w:t>
                  </w:r>
                </w:p>
              </w:tc>
              <w:tc>
                <w:tcPr>
                  <w:tcW w:w="534" w:type="pct"/>
                  <w:shd w:val="clear" w:color="auto" w:fill="FFFFFF"/>
                  <w:vAlign w:val="center"/>
                </w:tcPr>
                <w:p>
                  <w:pPr>
                    <w:pStyle w:val="10"/>
                    <w:jc w:val="center"/>
                    <w:rPr>
                      <w:rFonts w:ascii="楷体_GB2312" w:cs="Arial"/>
                      <w:lang w:val="en-US"/>
                    </w:rPr>
                  </w:pPr>
                  <w:r>
                    <w:rPr>
                      <w:color w:val="000000" w:themeColor="text1"/>
                      <w:sz w:val="20"/>
                      <w:szCs w:val="20"/>
                      <w14:textFill>
                        <w14:solidFill>
                          <w14:schemeClr w14:val="tx1"/>
                        </w14:solidFill>
                      </w14:textFill>
                    </w:rPr>
                    <w:t>0.9～1.3</w:t>
                  </w:r>
                </w:p>
              </w:tc>
              <w:tc>
                <w:tcPr>
                  <w:tcW w:w="332" w:type="pct"/>
                  <w:vMerge w:val="continue"/>
                  <w:vAlign w:val="center"/>
                </w:tcPr>
                <w:p>
                  <w:pPr>
                    <w:pStyle w:val="10"/>
                    <w:rPr>
                      <w:rFonts w:cs="Arial"/>
                      <w:lang w:val="en-US"/>
                    </w:rPr>
                  </w:pPr>
                </w:p>
              </w:tc>
              <w:tc>
                <w:tcPr>
                  <w:tcW w:w="332" w:type="pct"/>
                  <w:vMerge w:val="continue"/>
                  <w:vAlign w:val="center"/>
                </w:tcPr>
                <w:p>
                  <w:pPr>
                    <w:pStyle w:val="10"/>
                    <w:rPr>
                      <w:rFonts w:cs="Arial"/>
                      <w:lang w:val="en-US"/>
                    </w:rPr>
                  </w:pPr>
                </w:p>
              </w:tc>
              <w:tc>
                <w:tcPr>
                  <w:tcW w:w="1425" w:type="pct"/>
                  <w:vMerge w:val="continue"/>
                </w:tcPr>
                <w:p>
                  <w:pPr>
                    <w:pStyle w:val="10"/>
                    <w:rPr>
                      <w:rFonts w:cs="Arial"/>
                      <w:lang w:val="en-US"/>
                    </w:rPr>
                  </w:pPr>
                </w:p>
              </w:tc>
            </w:tr>
          </w:tbl>
          <w:p/>
          <w:p/>
          <w:p/>
          <w:p/>
          <w:p/>
          <w:p/>
          <w:p/>
          <w:p/>
          <w:p/>
          <w:p/>
          <w:p/>
          <w:p>
            <w:pPr>
              <w:rPr>
                <w:rFonts w:ascii="宋体" w:hAnsi="宋体" w:eastAsia="宋体"/>
              </w:rPr>
            </w:pPr>
          </w:p>
        </w:tc>
        <w:tc>
          <w:tcPr>
            <w:tcW w:w="10461" w:type="dxa"/>
            <w:vAlign w:val="center"/>
          </w:tcPr>
          <w:p>
            <w:pPr>
              <w:jc w:val="left"/>
              <w:rPr>
                <w:rFonts w:ascii="黑体" w:hAnsi="黑体" w:eastAsia="黑体"/>
                <w:b/>
                <w:bCs/>
                <w:sz w:val="44"/>
                <w:szCs w:val="44"/>
              </w:rPr>
            </w:pPr>
            <w:r>
              <w:rPr>
                <w:rFonts w:hint="eastAsia" w:ascii="黑体" w:hAnsi="黑体" w:eastAsia="黑体"/>
                <w:b/>
                <w:bCs/>
                <w:sz w:val="44"/>
                <w:szCs w:val="44"/>
              </w:rPr>
              <w:t>第</w:t>
            </w:r>
            <w:r>
              <w:rPr>
                <w:rFonts w:ascii="黑体" w:hAnsi="黑体" w:eastAsia="黑体"/>
                <w:b/>
                <w:bCs/>
                <w:sz w:val="44"/>
                <w:szCs w:val="44"/>
              </w:rPr>
              <w:t>5章 公共设施（条文）</w:t>
            </w:r>
          </w:p>
          <w:p>
            <w:pPr>
              <w:jc w:val="left"/>
              <w:rPr>
                <w:rFonts w:ascii="黑体" w:hAnsi="黑体" w:eastAsia="黑体" w:cs="Arial Unicode MS"/>
                <w:b/>
                <w:bCs/>
              </w:rPr>
            </w:pPr>
            <w:r>
              <w:rPr>
                <w:rFonts w:hint="eastAsia" w:ascii="黑体" w:hAnsi="黑体" w:eastAsia="黑体" w:cs="Arial Unicode MS"/>
                <w:b/>
                <w:bCs/>
              </w:rPr>
              <w:t>5</w:t>
            </w:r>
            <w:r>
              <w:rPr>
                <w:rFonts w:ascii="黑体" w:hAnsi="黑体" w:eastAsia="黑体" w:cs="Arial Unicode MS"/>
                <w:b/>
                <w:bCs/>
              </w:rPr>
              <w:t>.4</w:t>
            </w:r>
            <w:r>
              <w:rPr>
                <w:rFonts w:hint="eastAsia" w:ascii="黑体" w:hAnsi="黑体" w:eastAsia="黑体" w:cs="Arial Unicode MS"/>
                <w:b/>
                <w:bCs/>
              </w:rPr>
              <w:t xml:space="preserve"> 社区级公共设施</w:t>
            </w:r>
          </w:p>
          <w:p>
            <w:pPr>
              <w:pStyle w:val="2"/>
              <w:spacing w:before="156" w:after="156"/>
              <w:ind w:left="0" w:leftChars="0"/>
            </w:pPr>
            <w:r>
              <w:rPr>
                <w:rFonts w:cs="Arial"/>
              </w:rPr>
              <w:t>表5.4.1   公共设施及部分</w:t>
            </w:r>
            <w:r>
              <w:rPr>
                <w:rFonts w:hint="eastAsia" w:cs="Arial"/>
              </w:rPr>
              <w:t>交通设施、</w:t>
            </w:r>
            <w:r>
              <w:rPr>
                <w:rFonts w:cs="Arial"/>
              </w:rPr>
              <w:t>市政设施</w:t>
            </w:r>
            <w:r>
              <w:rPr>
                <w:rFonts w:hint="eastAsia" w:cs="Arial"/>
              </w:rPr>
              <w:t>和其它配套设施</w:t>
            </w:r>
            <w:r>
              <w:rPr>
                <w:rFonts w:cs="Arial"/>
              </w:rPr>
              <w:t>配置标准汇总</w:t>
            </w:r>
          </w:p>
          <w:p>
            <w:pPr>
              <w:jc w:val="center"/>
            </w:pPr>
          </w:p>
          <w:tbl>
            <w:tblPr>
              <w:tblStyle w:val="7"/>
              <w:tblW w:w="49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484"/>
              <w:gridCol w:w="443"/>
              <w:gridCol w:w="923"/>
              <w:gridCol w:w="1225"/>
              <w:gridCol w:w="1525"/>
              <w:gridCol w:w="1088"/>
              <w:gridCol w:w="537"/>
              <w:gridCol w:w="500"/>
              <w:gridCol w:w="2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 w:type="pct"/>
                  <w:vMerge w:val="restart"/>
                  <w:vAlign w:val="center"/>
                </w:tcPr>
                <w:p>
                  <w:pPr>
                    <w:pStyle w:val="10"/>
                    <w:jc w:val="center"/>
                    <w:rPr>
                      <w:rFonts w:cs="Arial"/>
                      <w:szCs w:val="21"/>
                      <w:lang w:val="en-US"/>
                    </w:rPr>
                  </w:pPr>
                  <w:r>
                    <w:rPr>
                      <w:rFonts w:hint="eastAsia" w:cs="Arial"/>
                      <w:szCs w:val="21"/>
                      <w:lang w:val="en-US"/>
                    </w:rPr>
                    <w:t>类别</w:t>
                  </w:r>
                </w:p>
              </w:tc>
              <w:tc>
                <w:tcPr>
                  <w:tcW w:w="239" w:type="pct"/>
                  <w:vMerge w:val="restart"/>
                  <w:vAlign w:val="center"/>
                </w:tcPr>
                <w:p>
                  <w:pPr>
                    <w:pStyle w:val="10"/>
                    <w:jc w:val="center"/>
                    <w:rPr>
                      <w:rFonts w:cs="Arial"/>
                      <w:szCs w:val="21"/>
                      <w:lang w:val="en-US"/>
                    </w:rPr>
                  </w:pPr>
                  <w:r>
                    <w:rPr>
                      <w:rFonts w:cs="Arial"/>
                      <w:szCs w:val="21"/>
                      <w:lang w:val="en-US"/>
                    </w:rPr>
                    <w:t>序号</w:t>
                  </w:r>
                </w:p>
              </w:tc>
              <w:tc>
                <w:tcPr>
                  <w:tcW w:w="675" w:type="pct"/>
                  <w:gridSpan w:val="2"/>
                  <w:vMerge w:val="restart"/>
                  <w:vAlign w:val="center"/>
                </w:tcPr>
                <w:p>
                  <w:pPr>
                    <w:pStyle w:val="10"/>
                    <w:jc w:val="center"/>
                    <w:rPr>
                      <w:rFonts w:cs="Arial"/>
                      <w:szCs w:val="21"/>
                      <w:lang w:val="en-US"/>
                    </w:rPr>
                  </w:pPr>
                  <w:r>
                    <w:rPr>
                      <w:rFonts w:cs="Arial"/>
                      <w:szCs w:val="21"/>
                      <w:lang w:val="en-US"/>
                    </w:rPr>
                    <w:t>项目名称</w:t>
                  </w:r>
                </w:p>
              </w:tc>
              <w:tc>
                <w:tcPr>
                  <w:tcW w:w="1360" w:type="pct"/>
                  <w:gridSpan w:val="2"/>
                  <w:vAlign w:val="center"/>
                </w:tcPr>
                <w:p>
                  <w:pPr>
                    <w:pStyle w:val="10"/>
                    <w:jc w:val="center"/>
                    <w:rPr>
                      <w:rFonts w:cs="Arial"/>
                      <w:szCs w:val="21"/>
                      <w:lang w:val="en-US"/>
                    </w:rPr>
                  </w:pPr>
                  <w:r>
                    <w:rPr>
                      <w:rFonts w:cs="Arial"/>
                      <w:szCs w:val="21"/>
                      <w:lang w:val="en-US"/>
                    </w:rPr>
                    <w:t>一般规模（平方米/处）</w:t>
                  </w:r>
                </w:p>
              </w:tc>
              <w:tc>
                <w:tcPr>
                  <w:tcW w:w="538" w:type="pct"/>
                  <w:vMerge w:val="restart"/>
                  <w:shd w:val="clear" w:color="auto" w:fill="FFFFFF"/>
                  <w:vAlign w:val="center"/>
                </w:tcPr>
                <w:p>
                  <w:pPr>
                    <w:pStyle w:val="10"/>
                    <w:jc w:val="center"/>
                    <w:rPr>
                      <w:rFonts w:ascii="楷体_GB2312" w:cs="Arial"/>
                      <w:szCs w:val="21"/>
                      <w:lang w:val="en-US"/>
                    </w:rPr>
                  </w:pPr>
                  <w:r>
                    <w:rPr>
                      <w:rFonts w:cs="Arial"/>
                      <w:szCs w:val="21"/>
                      <w:lang w:val="en-US"/>
                    </w:rPr>
                    <w:t>服务规模（万人）</w:t>
                  </w:r>
                </w:p>
              </w:tc>
              <w:tc>
                <w:tcPr>
                  <w:tcW w:w="265" w:type="pct"/>
                  <w:vMerge w:val="restart"/>
                  <w:vAlign w:val="center"/>
                </w:tcPr>
                <w:p>
                  <w:pPr>
                    <w:pStyle w:val="10"/>
                    <w:jc w:val="center"/>
                    <w:rPr>
                      <w:rFonts w:ascii="楷体_GB2312" w:cs="Arial"/>
                      <w:szCs w:val="21"/>
                    </w:rPr>
                  </w:pPr>
                  <w:r>
                    <w:rPr>
                      <w:rFonts w:cs="Arial"/>
                      <w:szCs w:val="21"/>
                      <w:lang w:val="en-US"/>
                    </w:rPr>
                    <w:t>配置规定</w:t>
                  </w:r>
                </w:p>
              </w:tc>
              <w:tc>
                <w:tcPr>
                  <w:tcW w:w="247" w:type="pct"/>
                  <w:vMerge w:val="restart"/>
                  <w:vAlign w:val="center"/>
                </w:tcPr>
                <w:p>
                  <w:pPr>
                    <w:pStyle w:val="10"/>
                    <w:jc w:val="center"/>
                    <w:rPr>
                      <w:rFonts w:cs="Arial"/>
                      <w:szCs w:val="21"/>
                      <w:lang w:val="en-US"/>
                    </w:rPr>
                  </w:pPr>
                  <w:r>
                    <w:rPr>
                      <w:rFonts w:cs="Arial"/>
                      <w:szCs w:val="21"/>
                      <w:lang w:val="en-US"/>
                    </w:rPr>
                    <w:t>配置要求</w:t>
                  </w:r>
                </w:p>
              </w:tc>
              <w:tc>
                <w:tcPr>
                  <w:tcW w:w="1463" w:type="pct"/>
                  <w:vMerge w:val="restart"/>
                  <w:vAlign w:val="center"/>
                </w:tcPr>
                <w:p>
                  <w:pPr>
                    <w:pStyle w:val="10"/>
                    <w:jc w:val="center"/>
                    <w:rPr>
                      <w:rFonts w:cs="Arial"/>
                      <w:szCs w:val="21"/>
                      <w:lang w:val="en-US"/>
                    </w:rPr>
                  </w:pPr>
                  <w:r>
                    <w:rPr>
                      <w:rFonts w:cs="Arial"/>
                      <w:szCs w:val="21"/>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 w:type="pct"/>
                  <w:vMerge w:val="continue"/>
                </w:tcPr>
                <w:p>
                  <w:pPr>
                    <w:pStyle w:val="10"/>
                    <w:jc w:val="center"/>
                    <w:rPr>
                      <w:rFonts w:cs="Arial"/>
                      <w:szCs w:val="21"/>
                      <w:lang w:val="en-US"/>
                    </w:rPr>
                  </w:pPr>
                </w:p>
              </w:tc>
              <w:tc>
                <w:tcPr>
                  <w:tcW w:w="239" w:type="pct"/>
                  <w:vMerge w:val="continue"/>
                  <w:vAlign w:val="center"/>
                </w:tcPr>
                <w:p>
                  <w:pPr>
                    <w:pStyle w:val="10"/>
                    <w:jc w:val="center"/>
                    <w:rPr>
                      <w:rFonts w:cs="Arial"/>
                      <w:szCs w:val="21"/>
                      <w:lang w:val="en-US"/>
                    </w:rPr>
                  </w:pPr>
                </w:p>
              </w:tc>
              <w:tc>
                <w:tcPr>
                  <w:tcW w:w="675" w:type="pct"/>
                  <w:gridSpan w:val="2"/>
                  <w:vMerge w:val="continue"/>
                  <w:vAlign w:val="center"/>
                </w:tcPr>
                <w:p>
                  <w:pPr>
                    <w:pStyle w:val="10"/>
                    <w:jc w:val="center"/>
                    <w:rPr>
                      <w:rFonts w:cs="Arial"/>
                      <w:szCs w:val="21"/>
                      <w:lang w:val="en-US"/>
                    </w:rPr>
                  </w:pPr>
                </w:p>
              </w:tc>
              <w:tc>
                <w:tcPr>
                  <w:tcW w:w="606" w:type="pct"/>
                  <w:vAlign w:val="center"/>
                </w:tcPr>
                <w:p>
                  <w:pPr>
                    <w:pStyle w:val="10"/>
                    <w:jc w:val="center"/>
                    <w:rPr>
                      <w:rFonts w:cs="Arial"/>
                      <w:szCs w:val="21"/>
                      <w:lang w:val="en-US"/>
                    </w:rPr>
                  </w:pPr>
                  <w:r>
                    <w:rPr>
                      <w:rFonts w:cs="Arial"/>
                      <w:szCs w:val="21"/>
                      <w:lang w:val="en-US"/>
                    </w:rPr>
                    <w:t>建筑面积</w:t>
                  </w:r>
                </w:p>
              </w:tc>
              <w:tc>
                <w:tcPr>
                  <w:tcW w:w="754" w:type="pct"/>
                  <w:vAlign w:val="center"/>
                </w:tcPr>
                <w:p>
                  <w:pPr>
                    <w:pStyle w:val="10"/>
                    <w:jc w:val="center"/>
                    <w:rPr>
                      <w:rFonts w:cs="Arial"/>
                      <w:szCs w:val="21"/>
                      <w:lang w:val="en-US"/>
                    </w:rPr>
                  </w:pPr>
                  <w:r>
                    <w:rPr>
                      <w:rFonts w:cs="Arial"/>
                      <w:szCs w:val="21"/>
                      <w:lang w:val="en-US"/>
                    </w:rPr>
                    <w:t>用地面积</w:t>
                  </w:r>
                </w:p>
              </w:tc>
              <w:tc>
                <w:tcPr>
                  <w:tcW w:w="538" w:type="pct"/>
                  <w:vMerge w:val="continue"/>
                  <w:shd w:val="clear" w:color="auto" w:fill="FFFFFF"/>
                  <w:vAlign w:val="center"/>
                </w:tcPr>
                <w:p>
                  <w:pPr>
                    <w:pStyle w:val="10"/>
                    <w:jc w:val="center"/>
                    <w:rPr>
                      <w:rFonts w:cs="Arial"/>
                      <w:szCs w:val="21"/>
                      <w:lang w:val="en-US"/>
                    </w:rPr>
                  </w:pPr>
                </w:p>
              </w:tc>
              <w:tc>
                <w:tcPr>
                  <w:tcW w:w="265" w:type="pct"/>
                  <w:vMerge w:val="continue"/>
                  <w:vAlign w:val="center"/>
                </w:tcPr>
                <w:p>
                  <w:pPr>
                    <w:pStyle w:val="10"/>
                    <w:jc w:val="center"/>
                    <w:rPr>
                      <w:rFonts w:cs="Arial"/>
                      <w:szCs w:val="21"/>
                      <w:lang w:val="en-US"/>
                    </w:rPr>
                  </w:pPr>
                </w:p>
              </w:tc>
              <w:tc>
                <w:tcPr>
                  <w:tcW w:w="247" w:type="pct"/>
                  <w:vMerge w:val="continue"/>
                  <w:vAlign w:val="center"/>
                </w:tcPr>
                <w:p>
                  <w:pPr>
                    <w:pStyle w:val="10"/>
                    <w:jc w:val="center"/>
                    <w:rPr>
                      <w:rFonts w:cs="Arial"/>
                      <w:szCs w:val="21"/>
                      <w:lang w:val="en-US"/>
                    </w:rPr>
                  </w:pPr>
                </w:p>
              </w:tc>
              <w:tc>
                <w:tcPr>
                  <w:tcW w:w="1463" w:type="pct"/>
                  <w:vMerge w:val="continue"/>
                  <w:vAlign w:val="center"/>
                </w:tcPr>
                <w:p>
                  <w:pPr>
                    <w:pStyle w:val="10"/>
                    <w:jc w:val="center"/>
                    <w:rPr>
                      <w:rFonts w:cs="Arial"/>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209" w:type="pct"/>
                  <w:vMerge w:val="restart"/>
                </w:tcPr>
                <w:p>
                  <w:pPr>
                    <w:pStyle w:val="10"/>
                    <w:jc w:val="center"/>
                    <w:rPr>
                      <w:rFonts w:cs="Arial"/>
                      <w:szCs w:val="21"/>
                      <w:lang w:val="en-US"/>
                    </w:rPr>
                  </w:pPr>
                  <w:r>
                    <w:rPr>
                      <w:rFonts w:hint="eastAsia" w:cs="Arial"/>
                      <w:szCs w:val="21"/>
                      <w:lang w:val="en-US"/>
                    </w:rPr>
                    <w:t>教育设施</w:t>
                  </w:r>
                </w:p>
              </w:tc>
              <w:tc>
                <w:tcPr>
                  <w:tcW w:w="239" w:type="pct"/>
                  <w:vMerge w:val="restart"/>
                  <w:vAlign w:val="center"/>
                </w:tcPr>
                <w:p>
                  <w:pPr>
                    <w:pStyle w:val="10"/>
                    <w:jc w:val="center"/>
                    <w:rPr>
                      <w:rFonts w:cs="Arial"/>
                      <w:szCs w:val="21"/>
                      <w:lang w:val="en-US"/>
                    </w:rPr>
                  </w:pPr>
                  <w:r>
                    <w:rPr>
                      <w:rFonts w:cs="Arial"/>
                      <w:szCs w:val="21"/>
                      <w:lang w:val="en-US"/>
                    </w:rPr>
                    <w:t>16</w:t>
                  </w:r>
                </w:p>
              </w:tc>
              <w:tc>
                <w:tcPr>
                  <w:tcW w:w="219" w:type="pct"/>
                  <w:vMerge w:val="restart"/>
                  <w:vAlign w:val="center"/>
                </w:tcPr>
                <w:p>
                  <w:pPr>
                    <w:pStyle w:val="10"/>
                    <w:spacing w:before="156" w:after="156"/>
                    <w:jc w:val="center"/>
                    <w:rPr>
                      <w:szCs w:val="21"/>
                    </w:rPr>
                  </w:pPr>
                  <w:r>
                    <w:rPr>
                      <w:rFonts w:hint="eastAsia"/>
                      <w:szCs w:val="21"/>
                    </w:rPr>
                    <w:t>幼儿园</w:t>
                  </w:r>
                </w:p>
              </w:tc>
              <w:tc>
                <w:tcPr>
                  <w:tcW w:w="456" w:type="pct"/>
                  <w:vAlign w:val="center"/>
                </w:tcPr>
                <w:p>
                  <w:pPr>
                    <w:pStyle w:val="10"/>
                    <w:jc w:val="center"/>
                    <w:rPr>
                      <w:rFonts w:cs="Arial"/>
                      <w:lang w:val="en-US"/>
                    </w:rPr>
                  </w:pPr>
                  <w:r>
                    <w:rPr>
                      <w:color w:val="000000" w:themeColor="text1"/>
                      <w:sz w:val="20"/>
                      <w:szCs w:val="20"/>
                      <w14:textFill>
                        <w14:solidFill>
                          <w14:schemeClr w14:val="tx1"/>
                        </w14:solidFill>
                      </w14:textFill>
                    </w:rPr>
                    <w:t>6</w:t>
                  </w:r>
                  <w:r>
                    <w:rPr>
                      <w:rFonts w:hint="eastAsia"/>
                      <w:color w:val="000000" w:themeColor="text1"/>
                      <w:sz w:val="20"/>
                      <w:szCs w:val="20"/>
                      <w14:textFill>
                        <w14:solidFill>
                          <w14:schemeClr w14:val="tx1"/>
                        </w14:solidFill>
                      </w14:textFill>
                    </w:rPr>
                    <w:t>班</w:t>
                  </w:r>
                </w:p>
              </w:tc>
              <w:tc>
                <w:tcPr>
                  <w:tcW w:w="606" w:type="pct"/>
                  <w:vAlign w:val="center"/>
                </w:tcPr>
                <w:p>
                  <w:pPr>
                    <w:pStyle w:val="10"/>
                    <w:jc w:val="center"/>
                    <w:rPr>
                      <w:rFonts w:ascii="楷体_GB2312" w:cs="Arial"/>
                    </w:rPr>
                  </w:pPr>
                  <w:r>
                    <w:rPr>
                      <w:rFonts w:hint="eastAsia"/>
                      <w:color w:val="000000" w:themeColor="text1"/>
                      <w:sz w:val="20"/>
                      <w:szCs w:val="20"/>
                      <w14:textFill>
                        <w14:solidFill>
                          <w14:schemeClr w14:val="tx1"/>
                        </w14:solidFill>
                      </w14:textFill>
                    </w:rPr>
                    <w:t>－</w:t>
                  </w:r>
                </w:p>
              </w:tc>
              <w:tc>
                <w:tcPr>
                  <w:tcW w:w="754" w:type="pct"/>
                  <w:vAlign w:val="center"/>
                </w:tcPr>
                <w:p>
                  <w:pPr>
                    <w:pStyle w:val="10"/>
                    <w:jc w:val="center"/>
                    <w:rPr>
                      <w:rFonts w:cs="Arial"/>
                      <w:lang w:val="en-US"/>
                    </w:rPr>
                  </w:pPr>
                  <w:r>
                    <w:rPr>
                      <w:rFonts w:cs="Arial"/>
                      <w:color w:val="000000" w:themeColor="text1"/>
                      <w:sz w:val="20"/>
                      <w:szCs w:val="20"/>
                      <w14:textFill>
                        <w14:solidFill>
                          <w14:schemeClr w14:val="tx1"/>
                        </w14:solidFill>
                      </w14:textFill>
                    </w:rPr>
                    <w:t>1800</w:t>
                  </w:r>
                  <w:r>
                    <w:rPr>
                      <w:rFonts w:hint="eastAsia"/>
                      <w:color w:val="000000" w:themeColor="text1"/>
                      <w:sz w:val="20"/>
                      <w:szCs w:val="20"/>
                      <w14:textFill>
                        <w14:solidFill>
                          <w14:schemeClr w14:val="tx1"/>
                        </w14:solidFill>
                      </w14:textFill>
                    </w:rPr>
                    <w:t>～</w:t>
                  </w:r>
                  <w:r>
                    <w:rPr>
                      <w:color w:val="000000" w:themeColor="text1"/>
                      <w:sz w:val="20"/>
                      <w:szCs w:val="20"/>
                      <w14:textFill>
                        <w14:solidFill>
                          <w14:schemeClr w14:val="tx1"/>
                        </w14:solidFill>
                      </w14:textFill>
                    </w:rPr>
                    <w:t>2100</w:t>
                  </w:r>
                </w:p>
              </w:tc>
              <w:tc>
                <w:tcPr>
                  <w:tcW w:w="538" w:type="pct"/>
                  <w:shd w:val="clear" w:color="auto" w:fill="FFFFFF"/>
                  <w:vAlign w:val="center"/>
                </w:tcPr>
                <w:p>
                  <w:pPr>
                    <w:pStyle w:val="10"/>
                    <w:jc w:val="center"/>
                    <w:rPr>
                      <w:rFonts w:cs="Arial"/>
                      <w:szCs w:val="21"/>
                      <w:u w:val="single"/>
                    </w:rPr>
                  </w:pPr>
                  <w:r>
                    <w:rPr>
                      <w:color w:val="000000" w:themeColor="text1"/>
                      <w:sz w:val="20"/>
                      <w:szCs w:val="20"/>
                      <w:u w:val="single"/>
                      <w14:textFill>
                        <w14:solidFill>
                          <w14:schemeClr w14:val="tx1"/>
                        </w14:solidFill>
                      </w14:textFill>
                    </w:rPr>
                    <w:t>0.2</w:t>
                  </w:r>
                  <w:r>
                    <w:rPr>
                      <w:rFonts w:hint="eastAsia"/>
                      <w:color w:val="000000" w:themeColor="text1"/>
                      <w:sz w:val="20"/>
                      <w:szCs w:val="20"/>
                      <w:u w:val="single"/>
                      <w14:textFill>
                        <w14:solidFill>
                          <w14:schemeClr w14:val="tx1"/>
                        </w14:solidFill>
                      </w14:textFill>
                    </w:rPr>
                    <w:t>～</w:t>
                  </w:r>
                  <w:r>
                    <w:rPr>
                      <w:color w:val="000000" w:themeColor="text1"/>
                      <w:sz w:val="20"/>
                      <w:szCs w:val="20"/>
                      <w:u w:val="single"/>
                      <w14:textFill>
                        <w14:solidFill>
                          <w14:schemeClr w14:val="tx1"/>
                        </w14:solidFill>
                      </w14:textFill>
                    </w:rPr>
                    <w:t>0.4</w:t>
                  </w:r>
                </w:p>
              </w:tc>
              <w:tc>
                <w:tcPr>
                  <w:tcW w:w="265" w:type="pct"/>
                  <w:vMerge w:val="restart"/>
                  <w:vAlign w:val="center"/>
                </w:tcPr>
                <w:p>
                  <w:pPr>
                    <w:pStyle w:val="10"/>
                    <w:jc w:val="center"/>
                    <w:rPr>
                      <w:szCs w:val="21"/>
                    </w:rPr>
                  </w:pPr>
                  <w:r>
                    <w:rPr>
                      <w:rFonts w:hint="eastAsia" w:ascii="楷体_GB2312" w:cs="Arial"/>
                    </w:rPr>
                    <w:t>－</w:t>
                  </w:r>
                </w:p>
              </w:tc>
              <w:tc>
                <w:tcPr>
                  <w:tcW w:w="247" w:type="pct"/>
                  <w:vMerge w:val="restart"/>
                  <w:vAlign w:val="center"/>
                </w:tcPr>
                <w:p>
                  <w:pPr>
                    <w:pStyle w:val="10"/>
                    <w:jc w:val="center"/>
                    <w:rPr>
                      <w:szCs w:val="21"/>
                    </w:rPr>
                  </w:pPr>
                  <w:r>
                    <w:rPr>
                      <w:szCs w:val="21"/>
                    </w:rPr>
                    <w:t>●</w:t>
                  </w:r>
                </w:p>
              </w:tc>
              <w:tc>
                <w:tcPr>
                  <w:tcW w:w="1463" w:type="pct"/>
                  <w:vMerge w:val="restart"/>
                  <w:vAlign w:val="center"/>
                </w:tcPr>
                <w:p>
                  <w:pPr>
                    <w:pStyle w:val="10"/>
                    <w:rPr>
                      <w:rFonts w:hint="eastAsia" w:eastAsia="楷体_GB2312" w:cs="Arial"/>
                      <w:lang w:val="en-US" w:eastAsia="zh-CN"/>
                    </w:rPr>
                  </w:pPr>
                  <w:r>
                    <w:rPr>
                      <w:rFonts w:hint="eastAsia" w:cs="Arial"/>
                      <w:lang w:val="en-US"/>
                    </w:rPr>
                    <w:t>幼（托）儿园宜设</w:t>
                  </w:r>
                  <w:r>
                    <w:rPr>
                      <w:rFonts w:cs="Arial"/>
                      <w:lang w:val="en-US"/>
                    </w:rPr>
                    <w:t>9班、12班或18班，每班30座。幼（托）儿园应按其服务范围均衡分布，服务半径宜为300米～500米。</w:t>
                  </w:r>
                  <w:r>
                    <w:rPr>
                      <w:rFonts w:hint="eastAsia"/>
                      <w:u w:val="single"/>
                      <w:lang w:val="en-US" w:eastAsia="zh-CN"/>
                    </w:rPr>
                    <w:t>幼儿园的建筑面积</w:t>
                  </w:r>
                  <w:r>
                    <w:rPr>
                      <w:rFonts w:hint="eastAsia"/>
                      <w:u w:val="single"/>
                      <w:lang w:val="en-US"/>
                    </w:rPr>
                    <w:t>应符合国家和深圳市有关规定</w:t>
                  </w:r>
                  <w:r>
                    <w:rPr>
                      <w:rFonts w:hint="eastAsia"/>
                      <w:u w:val="single"/>
                      <w:lang w:val="en-US" w:eastAsia="zh-CN"/>
                    </w:rPr>
                    <w:t>。</w:t>
                  </w:r>
                </w:p>
                <w:p>
                  <w:pPr>
                    <w:pStyle w:val="10"/>
                    <w:rPr>
                      <w:u w:val="single"/>
                      <w:lang w:val="en-US"/>
                    </w:rPr>
                  </w:pPr>
                  <w:r>
                    <w:rPr>
                      <w:rFonts w:hint="eastAsia" w:cs="Arial"/>
                      <w:lang w:val="en-US"/>
                    </w:rPr>
                    <w:t>幼（托）儿园</w:t>
                  </w:r>
                  <w:r>
                    <w:rPr>
                      <w:rFonts w:hint="eastAsia" w:cs="Arial"/>
                      <w:lang w:val="en-US" w:eastAsia="zh-CN"/>
                    </w:rPr>
                    <w:t>原则</w:t>
                  </w:r>
                  <w:r>
                    <w:rPr>
                      <w:rFonts w:cs="Arial"/>
                      <w:lang w:val="en-US"/>
                    </w:rPr>
                    <w:t>应独立占地，有独立院落和出入口</w:t>
                  </w:r>
                  <w:r>
                    <w:rPr>
                      <w:rFonts w:hint="eastAsia"/>
                      <w:lang w:val="en-US"/>
                    </w:rPr>
                    <w:t>。</w:t>
                  </w:r>
                  <w:r>
                    <w:rPr>
                      <w:rFonts w:hint="eastAsia" w:cs="Arial"/>
                      <w:lang w:val="en-US"/>
                    </w:rPr>
                    <w:t>幼（托）儿园</w:t>
                  </w:r>
                  <w:r>
                    <w:rPr>
                      <w:rFonts w:hint="eastAsia"/>
                      <w:u w:val="single"/>
                      <w:lang w:val="en-US"/>
                    </w:rPr>
                    <w:t>应设置室外活动场地，室外活动场地的面积规模和相应的设施要求应符合国家和深圳市有关规定。</w:t>
                  </w:r>
                </w:p>
                <w:p>
                  <w:pPr>
                    <w:pStyle w:val="10"/>
                    <w:rPr>
                      <w:lang w:val="en-US"/>
                    </w:rPr>
                  </w:pPr>
                  <w:r>
                    <w:rPr>
                      <w:rFonts w:hint="eastAsia" w:cs="Arial"/>
                      <w:u w:val="single"/>
                      <w:lang w:val="en-US"/>
                    </w:rPr>
                    <w:t>在保障3至5岁适龄儿童学位供给基础上，可适当增加用地面积建设托班，用于招收2至3岁的幼儿。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09" w:type="pct"/>
                  <w:vMerge w:val="continue"/>
                </w:tcPr>
                <w:p>
                  <w:pPr>
                    <w:pStyle w:val="10"/>
                    <w:jc w:val="center"/>
                    <w:rPr>
                      <w:rFonts w:cs="Arial"/>
                      <w:szCs w:val="21"/>
                      <w:lang w:val="en-US"/>
                    </w:rPr>
                  </w:pPr>
                </w:p>
              </w:tc>
              <w:tc>
                <w:tcPr>
                  <w:tcW w:w="239" w:type="pct"/>
                  <w:vMerge w:val="continue"/>
                  <w:vAlign w:val="center"/>
                </w:tcPr>
                <w:p>
                  <w:pPr>
                    <w:pStyle w:val="10"/>
                    <w:jc w:val="center"/>
                    <w:rPr>
                      <w:rFonts w:cs="Arial"/>
                      <w:szCs w:val="21"/>
                      <w:lang w:val="en-US"/>
                    </w:rPr>
                  </w:pPr>
                </w:p>
              </w:tc>
              <w:tc>
                <w:tcPr>
                  <w:tcW w:w="219" w:type="pct"/>
                  <w:vMerge w:val="continue"/>
                  <w:vAlign w:val="center"/>
                </w:tcPr>
                <w:p>
                  <w:pPr>
                    <w:pStyle w:val="10"/>
                    <w:jc w:val="center"/>
                    <w:rPr>
                      <w:rFonts w:cs="Arial"/>
                      <w:szCs w:val="21"/>
                      <w:lang w:val="en-US"/>
                    </w:rPr>
                  </w:pPr>
                </w:p>
              </w:tc>
              <w:tc>
                <w:tcPr>
                  <w:tcW w:w="456" w:type="pct"/>
                  <w:vAlign w:val="center"/>
                </w:tcPr>
                <w:p>
                  <w:pPr>
                    <w:pStyle w:val="10"/>
                    <w:jc w:val="center"/>
                    <w:rPr>
                      <w:rFonts w:cs="Arial"/>
                      <w:lang w:val="en-US"/>
                    </w:rPr>
                  </w:pPr>
                  <w:r>
                    <w:rPr>
                      <w:color w:val="000000" w:themeColor="text1"/>
                      <w:sz w:val="20"/>
                      <w:szCs w:val="20"/>
                      <w14:textFill>
                        <w14:solidFill>
                          <w14:schemeClr w14:val="tx1"/>
                        </w14:solidFill>
                      </w14:textFill>
                    </w:rPr>
                    <w:t>9</w:t>
                  </w:r>
                  <w:r>
                    <w:rPr>
                      <w:rFonts w:hint="eastAsia"/>
                      <w:color w:val="000000" w:themeColor="text1"/>
                      <w:sz w:val="20"/>
                      <w:szCs w:val="20"/>
                      <w14:textFill>
                        <w14:solidFill>
                          <w14:schemeClr w14:val="tx1"/>
                        </w14:solidFill>
                      </w14:textFill>
                    </w:rPr>
                    <w:t>班</w:t>
                  </w:r>
                </w:p>
              </w:tc>
              <w:tc>
                <w:tcPr>
                  <w:tcW w:w="606" w:type="pct"/>
                  <w:vAlign w:val="center"/>
                </w:tcPr>
                <w:p>
                  <w:pPr>
                    <w:pStyle w:val="10"/>
                    <w:jc w:val="center"/>
                    <w:rPr>
                      <w:rFonts w:ascii="楷体" w:hAnsi="楷体" w:eastAsia="楷体" w:cstheme="minorBidi"/>
                      <w:color w:val="000000" w:themeColor="text1"/>
                      <w:sz w:val="22"/>
                      <w14:textFill>
                        <w14:solidFill>
                          <w14:schemeClr w14:val="tx1"/>
                        </w14:solidFill>
                      </w14:textFill>
                    </w:rPr>
                  </w:pPr>
                  <w:r>
                    <w:rPr>
                      <w:rFonts w:hint="eastAsia"/>
                      <w:color w:val="000000" w:themeColor="text1"/>
                      <w:sz w:val="20"/>
                      <w:szCs w:val="20"/>
                      <w14:textFill>
                        <w14:solidFill>
                          <w14:schemeClr w14:val="tx1"/>
                        </w14:solidFill>
                      </w14:textFill>
                    </w:rPr>
                    <w:t>－</w:t>
                  </w:r>
                </w:p>
              </w:tc>
              <w:tc>
                <w:tcPr>
                  <w:tcW w:w="754" w:type="pct"/>
                  <w:vAlign w:val="center"/>
                </w:tcPr>
                <w:p>
                  <w:pPr>
                    <w:pStyle w:val="10"/>
                    <w:jc w:val="center"/>
                    <w:rPr>
                      <w:rFonts w:cs="Arial"/>
                      <w:lang w:val="en-US"/>
                    </w:rPr>
                  </w:pPr>
                  <w:r>
                    <w:rPr>
                      <w:color w:val="000000" w:themeColor="text1"/>
                      <w:sz w:val="20"/>
                      <w:szCs w:val="20"/>
                      <w14:textFill>
                        <w14:solidFill>
                          <w14:schemeClr w14:val="tx1"/>
                        </w14:solidFill>
                      </w14:textFill>
                    </w:rPr>
                    <w:t>2700</w:t>
                  </w:r>
                  <w:r>
                    <w:rPr>
                      <w:rFonts w:hint="eastAsia"/>
                      <w:color w:val="000000" w:themeColor="text1"/>
                      <w:sz w:val="20"/>
                      <w:szCs w:val="20"/>
                      <w14:textFill>
                        <w14:solidFill>
                          <w14:schemeClr w14:val="tx1"/>
                        </w14:solidFill>
                      </w14:textFill>
                    </w:rPr>
                    <w:t>～</w:t>
                  </w:r>
                  <w:r>
                    <w:rPr>
                      <w:color w:val="000000" w:themeColor="text1"/>
                      <w:sz w:val="20"/>
                      <w:szCs w:val="20"/>
                      <w14:textFill>
                        <w14:solidFill>
                          <w14:schemeClr w14:val="tx1"/>
                        </w14:solidFill>
                      </w14:textFill>
                    </w:rPr>
                    <w:t>3200</w:t>
                  </w:r>
                </w:p>
              </w:tc>
              <w:tc>
                <w:tcPr>
                  <w:tcW w:w="538" w:type="pct"/>
                  <w:shd w:val="clear" w:color="auto" w:fill="FFFFFF"/>
                  <w:vAlign w:val="center"/>
                </w:tcPr>
                <w:p>
                  <w:pPr>
                    <w:pStyle w:val="10"/>
                    <w:jc w:val="center"/>
                    <w:rPr>
                      <w:rFonts w:ascii="楷体" w:hAnsi="楷体" w:eastAsia="楷体" w:cstheme="minorBidi"/>
                      <w:color w:val="000000" w:themeColor="text1"/>
                      <w:sz w:val="22"/>
                      <w14:textFill>
                        <w14:solidFill>
                          <w14:schemeClr w14:val="tx1"/>
                        </w14:solidFill>
                      </w14:textFill>
                    </w:rPr>
                  </w:pPr>
                  <w:r>
                    <w:rPr>
                      <w:color w:val="000000" w:themeColor="text1"/>
                      <w:sz w:val="20"/>
                      <w:szCs w:val="20"/>
                      <w14:textFill>
                        <w14:solidFill>
                          <w14:schemeClr w14:val="tx1"/>
                        </w14:solidFill>
                      </w14:textFill>
                    </w:rPr>
                    <w:t>0.4</w:t>
                  </w:r>
                  <w:r>
                    <w:rPr>
                      <w:rFonts w:hint="eastAsia"/>
                      <w:color w:val="000000" w:themeColor="text1"/>
                      <w:sz w:val="20"/>
                      <w:szCs w:val="20"/>
                      <w14:textFill>
                        <w14:solidFill>
                          <w14:schemeClr w14:val="tx1"/>
                        </w14:solidFill>
                      </w14:textFill>
                    </w:rPr>
                    <w:t>～</w:t>
                  </w:r>
                  <w:r>
                    <w:rPr>
                      <w:color w:val="000000" w:themeColor="text1"/>
                      <w:sz w:val="20"/>
                      <w:szCs w:val="20"/>
                      <w14:textFill>
                        <w14:solidFill>
                          <w14:schemeClr w14:val="tx1"/>
                        </w14:solidFill>
                      </w14:textFill>
                    </w:rPr>
                    <w:t>0.7</w:t>
                  </w:r>
                </w:p>
              </w:tc>
              <w:tc>
                <w:tcPr>
                  <w:tcW w:w="265" w:type="pct"/>
                  <w:vMerge w:val="continue"/>
                  <w:vAlign w:val="center"/>
                </w:tcPr>
                <w:p>
                  <w:pPr>
                    <w:pStyle w:val="10"/>
                    <w:jc w:val="center"/>
                    <w:rPr>
                      <w:rFonts w:ascii="楷体" w:hAnsi="楷体" w:eastAsia="楷体" w:cstheme="minorBidi"/>
                      <w:szCs w:val="21"/>
                    </w:rPr>
                  </w:pPr>
                </w:p>
              </w:tc>
              <w:tc>
                <w:tcPr>
                  <w:tcW w:w="247" w:type="pct"/>
                  <w:vMerge w:val="continue"/>
                  <w:vAlign w:val="center"/>
                </w:tcPr>
                <w:p>
                  <w:pPr>
                    <w:pStyle w:val="10"/>
                    <w:jc w:val="center"/>
                    <w:rPr>
                      <w:rFonts w:cs="Arial"/>
                      <w:szCs w:val="21"/>
                      <w:lang w:val="en-US"/>
                    </w:rPr>
                  </w:pPr>
                </w:p>
              </w:tc>
              <w:tc>
                <w:tcPr>
                  <w:tcW w:w="1463" w:type="pct"/>
                  <w:vMerge w:val="continue"/>
                  <w:vAlign w:val="center"/>
                </w:tcPr>
                <w:p>
                  <w:pPr>
                    <w:pStyle w:val="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09" w:type="pct"/>
                  <w:vMerge w:val="continue"/>
                </w:tcPr>
                <w:p>
                  <w:pPr>
                    <w:pStyle w:val="10"/>
                    <w:jc w:val="center"/>
                    <w:rPr>
                      <w:rFonts w:cs="Arial"/>
                      <w:szCs w:val="21"/>
                      <w:lang w:val="en-US"/>
                    </w:rPr>
                  </w:pPr>
                </w:p>
              </w:tc>
              <w:tc>
                <w:tcPr>
                  <w:tcW w:w="239" w:type="pct"/>
                  <w:vMerge w:val="continue"/>
                  <w:vAlign w:val="center"/>
                </w:tcPr>
                <w:p>
                  <w:pPr>
                    <w:pStyle w:val="10"/>
                    <w:jc w:val="center"/>
                    <w:rPr>
                      <w:rFonts w:cs="Arial"/>
                      <w:szCs w:val="21"/>
                      <w:lang w:val="en-US"/>
                    </w:rPr>
                  </w:pPr>
                </w:p>
              </w:tc>
              <w:tc>
                <w:tcPr>
                  <w:tcW w:w="219" w:type="pct"/>
                  <w:vMerge w:val="continue"/>
                  <w:vAlign w:val="center"/>
                </w:tcPr>
                <w:p>
                  <w:pPr>
                    <w:pStyle w:val="10"/>
                    <w:jc w:val="center"/>
                    <w:rPr>
                      <w:rFonts w:cs="Arial"/>
                      <w:szCs w:val="21"/>
                      <w:lang w:val="en-US"/>
                    </w:rPr>
                  </w:pPr>
                </w:p>
              </w:tc>
              <w:tc>
                <w:tcPr>
                  <w:tcW w:w="456" w:type="pct"/>
                  <w:vAlign w:val="center"/>
                </w:tcPr>
                <w:p>
                  <w:pPr>
                    <w:pStyle w:val="10"/>
                    <w:jc w:val="center"/>
                    <w:rPr>
                      <w:rFonts w:cs="Arial"/>
                      <w:lang w:val="en-US"/>
                    </w:rPr>
                  </w:pPr>
                  <w:r>
                    <w:rPr>
                      <w:color w:val="000000" w:themeColor="text1"/>
                      <w:sz w:val="20"/>
                      <w:szCs w:val="20"/>
                      <w14:textFill>
                        <w14:solidFill>
                          <w14:schemeClr w14:val="tx1"/>
                        </w14:solidFill>
                      </w14:textFill>
                    </w:rPr>
                    <w:t>12</w:t>
                  </w:r>
                  <w:r>
                    <w:rPr>
                      <w:rFonts w:hint="eastAsia"/>
                      <w:color w:val="000000" w:themeColor="text1"/>
                      <w:sz w:val="20"/>
                      <w:szCs w:val="20"/>
                      <w14:textFill>
                        <w14:solidFill>
                          <w14:schemeClr w14:val="tx1"/>
                        </w14:solidFill>
                      </w14:textFill>
                    </w:rPr>
                    <w:t>班</w:t>
                  </w:r>
                </w:p>
              </w:tc>
              <w:tc>
                <w:tcPr>
                  <w:tcW w:w="606" w:type="pct"/>
                  <w:vAlign w:val="center"/>
                </w:tcPr>
                <w:p>
                  <w:pPr>
                    <w:pStyle w:val="10"/>
                    <w:jc w:val="center"/>
                    <w:rPr>
                      <w:rFonts w:ascii="楷体_GB2312" w:cs="Arial"/>
                    </w:rPr>
                  </w:pPr>
                  <w:r>
                    <w:rPr>
                      <w:rFonts w:hint="eastAsia"/>
                      <w:color w:val="000000" w:themeColor="text1"/>
                      <w:sz w:val="20"/>
                      <w:szCs w:val="20"/>
                      <w14:textFill>
                        <w14:solidFill>
                          <w14:schemeClr w14:val="tx1"/>
                        </w14:solidFill>
                      </w14:textFill>
                    </w:rPr>
                    <w:t>－</w:t>
                  </w:r>
                </w:p>
              </w:tc>
              <w:tc>
                <w:tcPr>
                  <w:tcW w:w="754" w:type="pct"/>
                  <w:vAlign w:val="center"/>
                </w:tcPr>
                <w:p>
                  <w:pPr>
                    <w:pStyle w:val="10"/>
                    <w:jc w:val="center"/>
                    <w:rPr>
                      <w:rFonts w:cs="Arial"/>
                      <w:lang w:val="en-US"/>
                    </w:rPr>
                  </w:pPr>
                  <w:r>
                    <w:rPr>
                      <w:color w:val="000000" w:themeColor="text1"/>
                      <w:sz w:val="20"/>
                      <w:szCs w:val="20"/>
                      <w14:textFill>
                        <w14:solidFill>
                          <w14:schemeClr w14:val="tx1"/>
                        </w14:solidFill>
                      </w14:textFill>
                    </w:rPr>
                    <w:t>3600</w:t>
                  </w:r>
                  <w:r>
                    <w:rPr>
                      <w:rFonts w:hint="eastAsia"/>
                      <w:color w:val="000000" w:themeColor="text1"/>
                      <w:sz w:val="20"/>
                      <w:szCs w:val="20"/>
                      <w14:textFill>
                        <w14:solidFill>
                          <w14:schemeClr w14:val="tx1"/>
                        </w14:solidFill>
                      </w14:textFill>
                    </w:rPr>
                    <w:t>～</w:t>
                  </w:r>
                  <w:r>
                    <w:rPr>
                      <w:color w:val="000000" w:themeColor="text1"/>
                      <w:sz w:val="20"/>
                      <w:szCs w:val="20"/>
                      <w14:textFill>
                        <w14:solidFill>
                          <w14:schemeClr w14:val="tx1"/>
                        </w14:solidFill>
                      </w14:textFill>
                    </w:rPr>
                    <w:t>4300</w:t>
                  </w:r>
                </w:p>
              </w:tc>
              <w:tc>
                <w:tcPr>
                  <w:tcW w:w="538" w:type="pct"/>
                  <w:shd w:val="clear" w:color="auto" w:fill="FFFFFF"/>
                  <w:vAlign w:val="center"/>
                </w:tcPr>
                <w:p>
                  <w:pPr>
                    <w:pStyle w:val="10"/>
                    <w:jc w:val="center"/>
                    <w:rPr>
                      <w:rFonts w:ascii="楷体_GB2312" w:cs="Arial"/>
                      <w:lang w:val="en-US"/>
                    </w:rPr>
                  </w:pPr>
                  <w:r>
                    <w:rPr>
                      <w:color w:val="000000" w:themeColor="text1"/>
                      <w:sz w:val="20"/>
                      <w:szCs w:val="20"/>
                      <w14:textFill>
                        <w14:solidFill>
                          <w14:schemeClr w14:val="tx1"/>
                        </w14:solidFill>
                      </w14:textFill>
                    </w:rPr>
                    <w:t>0.7</w:t>
                  </w:r>
                  <w:r>
                    <w:rPr>
                      <w:rFonts w:hint="eastAsia"/>
                      <w:color w:val="000000" w:themeColor="text1"/>
                      <w:sz w:val="20"/>
                      <w:szCs w:val="20"/>
                      <w14:textFill>
                        <w14:solidFill>
                          <w14:schemeClr w14:val="tx1"/>
                        </w14:solidFill>
                      </w14:textFill>
                    </w:rPr>
                    <w:t>～</w:t>
                  </w:r>
                  <w:r>
                    <w:rPr>
                      <w:color w:val="000000" w:themeColor="text1"/>
                      <w:sz w:val="20"/>
                      <w:szCs w:val="20"/>
                      <w14:textFill>
                        <w14:solidFill>
                          <w14:schemeClr w14:val="tx1"/>
                        </w14:solidFill>
                      </w14:textFill>
                    </w:rPr>
                    <w:t>0.9</w:t>
                  </w:r>
                </w:p>
              </w:tc>
              <w:tc>
                <w:tcPr>
                  <w:tcW w:w="265" w:type="pct"/>
                  <w:vMerge w:val="continue"/>
                  <w:vAlign w:val="center"/>
                </w:tcPr>
                <w:p>
                  <w:pPr>
                    <w:pStyle w:val="10"/>
                    <w:jc w:val="center"/>
                    <w:rPr>
                      <w:rFonts w:ascii="楷体" w:hAnsi="楷体" w:eastAsia="楷体" w:cstheme="minorBidi"/>
                      <w:szCs w:val="21"/>
                    </w:rPr>
                  </w:pPr>
                </w:p>
              </w:tc>
              <w:tc>
                <w:tcPr>
                  <w:tcW w:w="247" w:type="pct"/>
                  <w:vMerge w:val="continue"/>
                  <w:vAlign w:val="center"/>
                </w:tcPr>
                <w:p>
                  <w:pPr>
                    <w:pStyle w:val="10"/>
                    <w:jc w:val="center"/>
                    <w:rPr>
                      <w:rFonts w:cs="Arial"/>
                      <w:szCs w:val="21"/>
                      <w:lang w:val="en-US"/>
                    </w:rPr>
                  </w:pPr>
                </w:p>
              </w:tc>
              <w:tc>
                <w:tcPr>
                  <w:tcW w:w="1463" w:type="pct"/>
                  <w:vMerge w:val="continue"/>
                  <w:vAlign w:val="center"/>
                </w:tcPr>
                <w:p>
                  <w:pPr>
                    <w:pStyle w:val="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209" w:type="pct"/>
                  <w:vMerge w:val="continue"/>
                </w:tcPr>
                <w:p>
                  <w:pPr>
                    <w:pStyle w:val="10"/>
                    <w:jc w:val="center"/>
                    <w:rPr>
                      <w:rFonts w:cs="Arial"/>
                      <w:szCs w:val="21"/>
                      <w:lang w:val="en-US"/>
                    </w:rPr>
                  </w:pPr>
                </w:p>
              </w:tc>
              <w:tc>
                <w:tcPr>
                  <w:tcW w:w="239" w:type="pct"/>
                  <w:vMerge w:val="continue"/>
                  <w:vAlign w:val="center"/>
                </w:tcPr>
                <w:p>
                  <w:pPr>
                    <w:pStyle w:val="10"/>
                    <w:jc w:val="center"/>
                    <w:rPr>
                      <w:rFonts w:cs="Arial"/>
                      <w:szCs w:val="21"/>
                      <w:lang w:val="en-US"/>
                    </w:rPr>
                  </w:pPr>
                </w:p>
              </w:tc>
              <w:tc>
                <w:tcPr>
                  <w:tcW w:w="219" w:type="pct"/>
                  <w:vMerge w:val="continue"/>
                  <w:vAlign w:val="center"/>
                </w:tcPr>
                <w:p>
                  <w:pPr>
                    <w:pStyle w:val="10"/>
                    <w:jc w:val="center"/>
                    <w:rPr>
                      <w:rFonts w:cs="Arial"/>
                      <w:szCs w:val="21"/>
                      <w:lang w:val="en-US"/>
                    </w:rPr>
                  </w:pPr>
                </w:p>
              </w:tc>
              <w:tc>
                <w:tcPr>
                  <w:tcW w:w="456" w:type="pct"/>
                  <w:vAlign w:val="center"/>
                </w:tcPr>
                <w:p>
                  <w:pPr>
                    <w:pStyle w:val="10"/>
                    <w:jc w:val="center"/>
                    <w:rPr>
                      <w:rFonts w:cs="Arial"/>
                      <w:lang w:val="en-US"/>
                    </w:rPr>
                  </w:pPr>
                  <w:r>
                    <w:rPr>
                      <w:color w:val="000000" w:themeColor="text1"/>
                      <w:sz w:val="20"/>
                      <w:szCs w:val="20"/>
                      <w14:textFill>
                        <w14:solidFill>
                          <w14:schemeClr w14:val="tx1"/>
                        </w14:solidFill>
                      </w14:textFill>
                    </w:rPr>
                    <w:t>18</w:t>
                  </w:r>
                  <w:r>
                    <w:rPr>
                      <w:rFonts w:hint="eastAsia"/>
                      <w:color w:val="000000" w:themeColor="text1"/>
                      <w:sz w:val="20"/>
                      <w:szCs w:val="20"/>
                      <w14:textFill>
                        <w14:solidFill>
                          <w14:schemeClr w14:val="tx1"/>
                        </w14:solidFill>
                      </w14:textFill>
                    </w:rPr>
                    <w:t>班</w:t>
                  </w:r>
                </w:p>
              </w:tc>
              <w:tc>
                <w:tcPr>
                  <w:tcW w:w="606" w:type="pct"/>
                  <w:vAlign w:val="center"/>
                </w:tcPr>
                <w:p>
                  <w:pPr>
                    <w:pStyle w:val="10"/>
                    <w:jc w:val="center"/>
                    <w:rPr>
                      <w:rFonts w:ascii="楷体_GB2312" w:cs="Arial"/>
                    </w:rPr>
                  </w:pPr>
                  <w:r>
                    <w:rPr>
                      <w:rFonts w:hint="eastAsia"/>
                      <w:color w:val="000000" w:themeColor="text1"/>
                      <w:sz w:val="20"/>
                      <w:szCs w:val="20"/>
                      <w14:textFill>
                        <w14:solidFill>
                          <w14:schemeClr w14:val="tx1"/>
                        </w14:solidFill>
                      </w14:textFill>
                    </w:rPr>
                    <w:t>－</w:t>
                  </w:r>
                </w:p>
              </w:tc>
              <w:tc>
                <w:tcPr>
                  <w:tcW w:w="754" w:type="pct"/>
                  <w:vAlign w:val="center"/>
                </w:tcPr>
                <w:p>
                  <w:pPr>
                    <w:pStyle w:val="10"/>
                    <w:jc w:val="center"/>
                    <w:rPr>
                      <w:rFonts w:cs="Arial"/>
                      <w:lang w:val="en-US"/>
                    </w:rPr>
                  </w:pPr>
                  <w:r>
                    <w:rPr>
                      <w:color w:val="000000" w:themeColor="text1"/>
                      <w:sz w:val="20"/>
                      <w:szCs w:val="20"/>
                      <w14:textFill>
                        <w14:solidFill>
                          <w14:schemeClr w14:val="tx1"/>
                        </w14:solidFill>
                      </w14:textFill>
                    </w:rPr>
                    <w:t>5400</w:t>
                  </w:r>
                  <w:r>
                    <w:rPr>
                      <w:rFonts w:hint="eastAsia"/>
                      <w:color w:val="000000" w:themeColor="text1"/>
                      <w:sz w:val="20"/>
                      <w:szCs w:val="20"/>
                      <w14:textFill>
                        <w14:solidFill>
                          <w14:schemeClr w14:val="tx1"/>
                        </w14:solidFill>
                      </w14:textFill>
                    </w:rPr>
                    <w:t>～</w:t>
                  </w:r>
                  <w:r>
                    <w:rPr>
                      <w:color w:val="000000" w:themeColor="text1"/>
                      <w:sz w:val="20"/>
                      <w:szCs w:val="20"/>
                      <w14:textFill>
                        <w14:solidFill>
                          <w14:schemeClr w14:val="tx1"/>
                        </w14:solidFill>
                      </w14:textFill>
                    </w:rPr>
                    <w:t>6500</w:t>
                  </w:r>
                </w:p>
              </w:tc>
              <w:tc>
                <w:tcPr>
                  <w:tcW w:w="538" w:type="pct"/>
                  <w:shd w:val="clear" w:color="auto" w:fill="FFFFFF"/>
                  <w:vAlign w:val="center"/>
                </w:tcPr>
                <w:p>
                  <w:pPr>
                    <w:pStyle w:val="10"/>
                    <w:jc w:val="center"/>
                    <w:rPr>
                      <w:rFonts w:ascii="楷体_GB2312" w:cs="Arial"/>
                      <w:lang w:val="en-US"/>
                    </w:rPr>
                  </w:pPr>
                  <w:r>
                    <w:rPr>
                      <w:color w:val="000000" w:themeColor="text1"/>
                      <w:sz w:val="20"/>
                      <w:szCs w:val="20"/>
                      <w14:textFill>
                        <w14:solidFill>
                          <w14:schemeClr w14:val="tx1"/>
                        </w14:solidFill>
                      </w14:textFill>
                    </w:rPr>
                    <w:t>0.9～1.3</w:t>
                  </w:r>
                </w:p>
              </w:tc>
              <w:tc>
                <w:tcPr>
                  <w:tcW w:w="265" w:type="pct"/>
                  <w:vMerge w:val="continue"/>
                  <w:vAlign w:val="center"/>
                </w:tcPr>
                <w:p>
                  <w:pPr>
                    <w:pStyle w:val="10"/>
                    <w:jc w:val="center"/>
                    <w:rPr>
                      <w:rFonts w:cs="Arial"/>
                      <w:szCs w:val="21"/>
                      <w:lang w:val="en-US"/>
                    </w:rPr>
                  </w:pPr>
                </w:p>
              </w:tc>
              <w:tc>
                <w:tcPr>
                  <w:tcW w:w="247" w:type="pct"/>
                  <w:vMerge w:val="continue"/>
                  <w:vAlign w:val="center"/>
                </w:tcPr>
                <w:p>
                  <w:pPr>
                    <w:pStyle w:val="10"/>
                    <w:jc w:val="center"/>
                    <w:rPr>
                      <w:rFonts w:cs="Arial"/>
                      <w:szCs w:val="21"/>
                      <w:lang w:val="en-US"/>
                    </w:rPr>
                  </w:pPr>
                </w:p>
              </w:tc>
              <w:tc>
                <w:tcPr>
                  <w:tcW w:w="1463" w:type="pct"/>
                  <w:vMerge w:val="continue"/>
                  <w:vAlign w:val="center"/>
                </w:tcPr>
                <w:p>
                  <w:pPr>
                    <w:pStyle w:val="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209" w:type="pct"/>
                  <w:vMerge w:val="continue"/>
                </w:tcPr>
                <w:p>
                  <w:pPr>
                    <w:pStyle w:val="10"/>
                    <w:jc w:val="center"/>
                    <w:rPr>
                      <w:rFonts w:cs="Arial"/>
                      <w:szCs w:val="21"/>
                      <w:u w:val="single"/>
                      <w:lang w:val="en-US"/>
                    </w:rPr>
                  </w:pPr>
                </w:p>
              </w:tc>
              <w:tc>
                <w:tcPr>
                  <w:tcW w:w="239" w:type="pct"/>
                  <w:vAlign w:val="center"/>
                </w:tcPr>
                <w:p>
                  <w:pPr>
                    <w:pStyle w:val="10"/>
                    <w:jc w:val="center"/>
                    <w:rPr>
                      <w:rFonts w:cs="Arial"/>
                      <w:szCs w:val="21"/>
                      <w:u w:val="single"/>
                      <w:lang w:val="en-US"/>
                    </w:rPr>
                  </w:pPr>
                  <w:r>
                    <w:rPr>
                      <w:rFonts w:hint="eastAsia" w:cs="Arial"/>
                      <w:szCs w:val="21"/>
                      <w:u w:val="single"/>
                      <w:lang w:val="en-US"/>
                    </w:rPr>
                    <w:t>1</w:t>
                  </w:r>
                  <w:r>
                    <w:rPr>
                      <w:rFonts w:cs="Arial"/>
                      <w:szCs w:val="21"/>
                      <w:u w:val="single"/>
                      <w:lang w:val="en-US"/>
                    </w:rPr>
                    <w:t>7</w:t>
                  </w:r>
                </w:p>
              </w:tc>
              <w:tc>
                <w:tcPr>
                  <w:tcW w:w="675" w:type="pct"/>
                  <w:gridSpan w:val="2"/>
                  <w:vAlign w:val="center"/>
                </w:tcPr>
                <w:p>
                  <w:pPr>
                    <w:pStyle w:val="10"/>
                    <w:jc w:val="center"/>
                    <w:rPr>
                      <w:szCs w:val="21"/>
                      <w:u w:val="single"/>
                    </w:rPr>
                  </w:pPr>
                  <w:r>
                    <w:rPr>
                      <w:rFonts w:hint="eastAsia"/>
                      <w:szCs w:val="21"/>
                      <w:u w:val="single"/>
                    </w:rPr>
                    <w:t>托育机构</w:t>
                  </w:r>
                </w:p>
              </w:tc>
              <w:tc>
                <w:tcPr>
                  <w:tcW w:w="606" w:type="pct"/>
                  <w:vAlign w:val="center"/>
                </w:tcPr>
                <w:p>
                  <w:pPr>
                    <w:pStyle w:val="10"/>
                    <w:jc w:val="center"/>
                    <w:rPr>
                      <w:szCs w:val="21"/>
                    </w:rPr>
                  </w:pPr>
                  <w:r>
                    <w:rPr>
                      <w:rFonts w:cs="Arial" w:eastAsiaTheme="minorEastAsia"/>
                      <w:kern w:val="24"/>
                      <w:szCs w:val="21"/>
                      <w:u w:val="single"/>
                    </w:rPr>
                    <w:t>300</w:t>
                  </w:r>
                  <w:r>
                    <w:rPr>
                      <w:rFonts w:eastAsia="楷体" w:cs="Arial"/>
                      <w:u w:val="single"/>
                    </w:rPr>
                    <w:t>～</w:t>
                  </w:r>
                  <w:r>
                    <w:rPr>
                      <w:rFonts w:cs="Arial" w:eastAsiaTheme="minorEastAsia"/>
                      <w:kern w:val="24"/>
                      <w:szCs w:val="21"/>
                      <w:u w:val="single"/>
                    </w:rPr>
                    <w:t>600</w:t>
                  </w:r>
                </w:p>
              </w:tc>
              <w:tc>
                <w:tcPr>
                  <w:tcW w:w="754" w:type="pct"/>
                  <w:vAlign w:val="center"/>
                </w:tcPr>
                <w:p>
                  <w:pPr>
                    <w:pStyle w:val="10"/>
                    <w:jc w:val="center"/>
                    <w:rPr>
                      <w:szCs w:val="21"/>
                    </w:rPr>
                  </w:pPr>
                  <w:r>
                    <w:rPr>
                      <w:rFonts w:hint="eastAsia"/>
                      <w:szCs w:val="21"/>
                    </w:rPr>
                    <w:t>－</w:t>
                  </w:r>
                </w:p>
              </w:tc>
              <w:tc>
                <w:tcPr>
                  <w:tcW w:w="538" w:type="pct"/>
                  <w:shd w:val="clear" w:color="auto" w:fill="FFFFFF"/>
                  <w:vAlign w:val="center"/>
                </w:tcPr>
                <w:p>
                  <w:pPr>
                    <w:pStyle w:val="10"/>
                    <w:jc w:val="center"/>
                    <w:rPr>
                      <w:szCs w:val="21"/>
                    </w:rPr>
                  </w:pPr>
                  <w:r>
                    <w:rPr>
                      <w:rFonts w:hint="eastAsia"/>
                      <w:szCs w:val="21"/>
                    </w:rPr>
                    <w:t>－</w:t>
                  </w:r>
                </w:p>
              </w:tc>
              <w:tc>
                <w:tcPr>
                  <w:tcW w:w="265" w:type="pct"/>
                  <w:vAlign w:val="center"/>
                </w:tcPr>
                <w:p>
                  <w:pPr>
                    <w:pStyle w:val="10"/>
                    <w:jc w:val="center"/>
                    <w:rPr>
                      <w:szCs w:val="21"/>
                    </w:rPr>
                  </w:pPr>
                  <w:r>
                    <w:rPr>
                      <w:rFonts w:hint="eastAsia"/>
                      <w:szCs w:val="21"/>
                    </w:rPr>
                    <w:t>－</w:t>
                  </w:r>
                </w:p>
              </w:tc>
              <w:tc>
                <w:tcPr>
                  <w:tcW w:w="247" w:type="pct"/>
                  <w:vAlign w:val="center"/>
                </w:tcPr>
                <w:p>
                  <w:pPr>
                    <w:pStyle w:val="10"/>
                    <w:jc w:val="center"/>
                  </w:pPr>
                  <w:r>
                    <w:rPr>
                      <w:szCs w:val="21"/>
                    </w:rPr>
                    <w:t>●</w:t>
                  </w:r>
                </w:p>
              </w:tc>
              <w:tc>
                <w:tcPr>
                  <w:tcW w:w="1463" w:type="pct"/>
                  <w:vAlign w:val="center"/>
                </w:tcPr>
                <w:p>
                  <w:pPr>
                    <w:pStyle w:val="10"/>
                    <w:rPr>
                      <w:u w:val="single"/>
                    </w:rPr>
                  </w:pPr>
                  <w:r>
                    <w:rPr>
                      <w:u w:val="single"/>
                    </w:rPr>
                    <w:t>托育</w:t>
                  </w:r>
                  <w:r>
                    <w:rPr>
                      <w:rFonts w:hint="eastAsia"/>
                      <w:u w:val="single"/>
                    </w:rPr>
                    <w:t>机构应按服务半径均衡分布，</w:t>
                  </w:r>
                  <w:r>
                    <w:rPr>
                      <w:u w:val="single"/>
                    </w:rPr>
                    <w:t>服务半径</w:t>
                  </w:r>
                  <w:r>
                    <w:rPr>
                      <w:rFonts w:hint="eastAsia"/>
                      <w:u w:val="single"/>
                    </w:rPr>
                    <w:t>宜为</w:t>
                  </w:r>
                  <w:r>
                    <w:rPr>
                      <w:u w:val="single"/>
                    </w:rPr>
                    <w:t>300</w:t>
                  </w:r>
                  <w:r>
                    <w:rPr>
                      <w:rFonts w:hint="eastAsia"/>
                      <w:u w:val="single"/>
                    </w:rPr>
                    <w:t>米</w:t>
                  </w:r>
                  <w:r>
                    <w:rPr>
                      <w:rFonts w:hint="eastAsia"/>
                      <w:u w:val="single"/>
                      <w:lang w:val="en-US"/>
                    </w:rPr>
                    <w:t>～500</w:t>
                  </w:r>
                  <w:r>
                    <w:rPr>
                      <w:u w:val="single"/>
                    </w:rPr>
                    <w:t>米</w:t>
                  </w:r>
                  <w:r>
                    <w:rPr>
                      <w:rFonts w:hint="eastAsia"/>
                      <w:u w:val="single"/>
                    </w:rPr>
                    <w:t>。宜</w:t>
                  </w:r>
                  <w:r>
                    <w:rPr>
                      <w:u w:val="single"/>
                    </w:rPr>
                    <w:t>与居住、养老、教育、文化、商务办公等建筑合建，但位置应相对独立</w:t>
                  </w:r>
                  <w:r>
                    <w:rPr>
                      <w:rFonts w:hint="eastAsia"/>
                      <w:u w:val="single"/>
                    </w:rPr>
                    <w:t>，应设置室外活动场地。</w:t>
                  </w:r>
                </w:p>
              </w:tc>
            </w:tr>
          </w:tbl>
          <w:p/>
        </w:tc>
      </w:tr>
    </w:tbl>
    <w:p>
      <w:bookmarkStart w:id="0" w:name="_GoBack"/>
      <w:bookmarkEnd w:id="0"/>
    </w:p>
    <w:sectPr>
      <w:footerReference r:id="rId3" w:type="default"/>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楷体_GB2312">
    <w:altName w:val="方正楷体_GBK"/>
    <w:panose1 w:val="00000000000000000000"/>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Arial Unicode MS">
    <w:altName w:val="DejaVu Sans"/>
    <w:panose1 w:val="020B0604020202020204"/>
    <w:charset w:val="86"/>
    <w:family w:val="swiss"/>
    <w:pitch w:val="default"/>
    <w:sig w:usb0="00000000" w:usb1="00000000" w:usb2="0000003F" w:usb3="00000000" w:csb0="003F01FF" w:csb1="00000000"/>
  </w:font>
  <w:font w:name="楷体">
    <w:altName w:val="方正楷体_GBK"/>
    <w:panose1 w:val="02010609060101010101"/>
    <w:charset w:val="86"/>
    <w:family w:val="modern"/>
    <w:pitch w:val="default"/>
    <w:sig w:usb0="00000000" w:usb1="00000000" w:usb2="00000016" w:usb3="00000000" w:csb0="00040001" w:csb1="00000000"/>
  </w:font>
  <w:font w:name="URW Bookman">
    <w:panose1 w:val="000004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374412"/>
      <w:docPartObj>
        <w:docPartGallery w:val="autotext"/>
      </w:docPartObj>
    </w:sdtPr>
    <w:sdtContent>
      <w:p>
        <w:pPr>
          <w:pStyle w:val="4"/>
          <w:jc w:val="right"/>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678"/>
    <w:rsid w:val="00013021"/>
    <w:rsid w:val="00021521"/>
    <w:rsid w:val="00022625"/>
    <w:rsid w:val="0002556E"/>
    <w:rsid w:val="000302F7"/>
    <w:rsid w:val="0003058B"/>
    <w:rsid w:val="000324A4"/>
    <w:rsid w:val="00044949"/>
    <w:rsid w:val="0005002B"/>
    <w:rsid w:val="0006167B"/>
    <w:rsid w:val="0006231B"/>
    <w:rsid w:val="00071BB8"/>
    <w:rsid w:val="00072AA3"/>
    <w:rsid w:val="0008532E"/>
    <w:rsid w:val="000948E4"/>
    <w:rsid w:val="000A13C7"/>
    <w:rsid w:val="000A6EC0"/>
    <w:rsid w:val="000C2C68"/>
    <w:rsid w:val="000C35F2"/>
    <w:rsid w:val="000C659F"/>
    <w:rsid w:val="000C6748"/>
    <w:rsid w:val="000D00FA"/>
    <w:rsid w:val="000D176B"/>
    <w:rsid w:val="000E19D5"/>
    <w:rsid w:val="000F65C3"/>
    <w:rsid w:val="000F7711"/>
    <w:rsid w:val="0012500D"/>
    <w:rsid w:val="0014481C"/>
    <w:rsid w:val="001453F9"/>
    <w:rsid w:val="001706DD"/>
    <w:rsid w:val="001B1AC0"/>
    <w:rsid w:val="001B6683"/>
    <w:rsid w:val="001B721D"/>
    <w:rsid w:val="001C4852"/>
    <w:rsid w:val="001D04EC"/>
    <w:rsid w:val="001E302E"/>
    <w:rsid w:val="001E4C4F"/>
    <w:rsid w:val="002312AF"/>
    <w:rsid w:val="00241393"/>
    <w:rsid w:val="00242CD9"/>
    <w:rsid w:val="00253C56"/>
    <w:rsid w:val="002654DF"/>
    <w:rsid w:val="00266605"/>
    <w:rsid w:val="00277484"/>
    <w:rsid w:val="00287425"/>
    <w:rsid w:val="002B0E6F"/>
    <w:rsid w:val="002C57F1"/>
    <w:rsid w:val="002D74FB"/>
    <w:rsid w:val="002E2440"/>
    <w:rsid w:val="002E2CF2"/>
    <w:rsid w:val="002E2F7F"/>
    <w:rsid w:val="002F3096"/>
    <w:rsid w:val="00301399"/>
    <w:rsid w:val="003079E1"/>
    <w:rsid w:val="00312A2B"/>
    <w:rsid w:val="00316061"/>
    <w:rsid w:val="00317AF2"/>
    <w:rsid w:val="0033139E"/>
    <w:rsid w:val="0033400A"/>
    <w:rsid w:val="003414AD"/>
    <w:rsid w:val="00342A3B"/>
    <w:rsid w:val="00356C12"/>
    <w:rsid w:val="00376375"/>
    <w:rsid w:val="00381677"/>
    <w:rsid w:val="003914EE"/>
    <w:rsid w:val="00391E82"/>
    <w:rsid w:val="003A2DF1"/>
    <w:rsid w:val="003A7E61"/>
    <w:rsid w:val="003B26FA"/>
    <w:rsid w:val="003B505E"/>
    <w:rsid w:val="003D3922"/>
    <w:rsid w:val="003D4F97"/>
    <w:rsid w:val="003F4454"/>
    <w:rsid w:val="00411E19"/>
    <w:rsid w:val="00415254"/>
    <w:rsid w:val="00431EFD"/>
    <w:rsid w:val="00440EA3"/>
    <w:rsid w:val="00441159"/>
    <w:rsid w:val="004450F4"/>
    <w:rsid w:val="00475F9F"/>
    <w:rsid w:val="004B46B2"/>
    <w:rsid w:val="004D2F24"/>
    <w:rsid w:val="004F7043"/>
    <w:rsid w:val="004F70DD"/>
    <w:rsid w:val="00512AA2"/>
    <w:rsid w:val="00533F31"/>
    <w:rsid w:val="00541594"/>
    <w:rsid w:val="00542240"/>
    <w:rsid w:val="00543837"/>
    <w:rsid w:val="0054546B"/>
    <w:rsid w:val="00562257"/>
    <w:rsid w:val="00574544"/>
    <w:rsid w:val="00582F41"/>
    <w:rsid w:val="00591508"/>
    <w:rsid w:val="00592ED0"/>
    <w:rsid w:val="005A71E7"/>
    <w:rsid w:val="005E0CD3"/>
    <w:rsid w:val="0060388E"/>
    <w:rsid w:val="0061735A"/>
    <w:rsid w:val="00617427"/>
    <w:rsid w:val="00661432"/>
    <w:rsid w:val="006725BF"/>
    <w:rsid w:val="0069175E"/>
    <w:rsid w:val="006A16BE"/>
    <w:rsid w:val="006B26DE"/>
    <w:rsid w:val="006B5678"/>
    <w:rsid w:val="006C5D31"/>
    <w:rsid w:val="006D1691"/>
    <w:rsid w:val="006D5419"/>
    <w:rsid w:val="006D5744"/>
    <w:rsid w:val="006D5A34"/>
    <w:rsid w:val="006F2C65"/>
    <w:rsid w:val="007049D7"/>
    <w:rsid w:val="0070507E"/>
    <w:rsid w:val="00717A02"/>
    <w:rsid w:val="00733A1E"/>
    <w:rsid w:val="00734B2D"/>
    <w:rsid w:val="00735EFF"/>
    <w:rsid w:val="00742776"/>
    <w:rsid w:val="00746742"/>
    <w:rsid w:val="007545C5"/>
    <w:rsid w:val="007622D0"/>
    <w:rsid w:val="0077257C"/>
    <w:rsid w:val="00776D9E"/>
    <w:rsid w:val="00776E83"/>
    <w:rsid w:val="00786630"/>
    <w:rsid w:val="00791D73"/>
    <w:rsid w:val="0079494F"/>
    <w:rsid w:val="007967B4"/>
    <w:rsid w:val="007A3B06"/>
    <w:rsid w:val="007C1359"/>
    <w:rsid w:val="007C3A2A"/>
    <w:rsid w:val="007D6EB5"/>
    <w:rsid w:val="007E46E4"/>
    <w:rsid w:val="007F2BC1"/>
    <w:rsid w:val="007F58DE"/>
    <w:rsid w:val="007F6D25"/>
    <w:rsid w:val="008030D0"/>
    <w:rsid w:val="00807CC2"/>
    <w:rsid w:val="00811FB3"/>
    <w:rsid w:val="00814EF3"/>
    <w:rsid w:val="00825C7D"/>
    <w:rsid w:val="0082688F"/>
    <w:rsid w:val="0083347D"/>
    <w:rsid w:val="00842B4D"/>
    <w:rsid w:val="00846879"/>
    <w:rsid w:val="008575BD"/>
    <w:rsid w:val="008576DC"/>
    <w:rsid w:val="0086185E"/>
    <w:rsid w:val="00864DF9"/>
    <w:rsid w:val="00884158"/>
    <w:rsid w:val="008C0AB8"/>
    <w:rsid w:val="008D02CB"/>
    <w:rsid w:val="008D637B"/>
    <w:rsid w:val="008E03D8"/>
    <w:rsid w:val="008F1D7F"/>
    <w:rsid w:val="0091362D"/>
    <w:rsid w:val="009165E2"/>
    <w:rsid w:val="00923500"/>
    <w:rsid w:val="00924228"/>
    <w:rsid w:val="009430BB"/>
    <w:rsid w:val="009615AC"/>
    <w:rsid w:val="009668DE"/>
    <w:rsid w:val="009749C9"/>
    <w:rsid w:val="0097677A"/>
    <w:rsid w:val="00980F18"/>
    <w:rsid w:val="009A3528"/>
    <w:rsid w:val="009B018E"/>
    <w:rsid w:val="009B3610"/>
    <w:rsid w:val="009B3D13"/>
    <w:rsid w:val="009C16E6"/>
    <w:rsid w:val="009C352D"/>
    <w:rsid w:val="009D0ACD"/>
    <w:rsid w:val="009E167D"/>
    <w:rsid w:val="009E19D8"/>
    <w:rsid w:val="009F0DBF"/>
    <w:rsid w:val="009F39E3"/>
    <w:rsid w:val="00A07470"/>
    <w:rsid w:val="00A35EB7"/>
    <w:rsid w:val="00A36471"/>
    <w:rsid w:val="00A365EE"/>
    <w:rsid w:val="00A6696F"/>
    <w:rsid w:val="00A81DC5"/>
    <w:rsid w:val="00A83FD8"/>
    <w:rsid w:val="00A8772A"/>
    <w:rsid w:val="00A93E6F"/>
    <w:rsid w:val="00AC1E73"/>
    <w:rsid w:val="00AC1FB4"/>
    <w:rsid w:val="00AC372D"/>
    <w:rsid w:val="00AC607B"/>
    <w:rsid w:val="00AF7C11"/>
    <w:rsid w:val="00B015F0"/>
    <w:rsid w:val="00B0283C"/>
    <w:rsid w:val="00B114BD"/>
    <w:rsid w:val="00B14315"/>
    <w:rsid w:val="00B177C4"/>
    <w:rsid w:val="00B33227"/>
    <w:rsid w:val="00B37734"/>
    <w:rsid w:val="00B52D24"/>
    <w:rsid w:val="00B56770"/>
    <w:rsid w:val="00B84000"/>
    <w:rsid w:val="00B842C9"/>
    <w:rsid w:val="00B978ED"/>
    <w:rsid w:val="00BA610B"/>
    <w:rsid w:val="00BF195D"/>
    <w:rsid w:val="00C010DF"/>
    <w:rsid w:val="00C0247C"/>
    <w:rsid w:val="00C15375"/>
    <w:rsid w:val="00C26A45"/>
    <w:rsid w:val="00C439FD"/>
    <w:rsid w:val="00C751C3"/>
    <w:rsid w:val="00C75FE0"/>
    <w:rsid w:val="00C86BF1"/>
    <w:rsid w:val="00CC7FB3"/>
    <w:rsid w:val="00CD1F80"/>
    <w:rsid w:val="00CE1A3C"/>
    <w:rsid w:val="00CF4A74"/>
    <w:rsid w:val="00D04CC5"/>
    <w:rsid w:val="00D071FF"/>
    <w:rsid w:val="00D21228"/>
    <w:rsid w:val="00D22F0C"/>
    <w:rsid w:val="00D4130E"/>
    <w:rsid w:val="00D63951"/>
    <w:rsid w:val="00D63D9C"/>
    <w:rsid w:val="00D7203D"/>
    <w:rsid w:val="00D92DF4"/>
    <w:rsid w:val="00DA0988"/>
    <w:rsid w:val="00DA5249"/>
    <w:rsid w:val="00DB0DC2"/>
    <w:rsid w:val="00DB197A"/>
    <w:rsid w:val="00DC21DB"/>
    <w:rsid w:val="00DD6183"/>
    <w:rsid w:val="00E05C36"/>
    <w:rsid w:val="00E15EB5"/>
    <w:rsid w:val="00E22A37"/>
    <w:rsid w:val="00E2315F"/>
    <w:rsid w:val="00E24F32"/>
    <w:rsid w:val="00E3253B"/>
    <w:rsid w:val="00E477F8"/>
    <w:rsid w:val="00E600E6"/>
    <w:rsid w:val="00E61799"/>
    <w:rsid w:val="00E6479C"/>
    <w:rsid w:val="00E664E1"/>
    <w:rsid w:val="00E73A14"/>
    <w:rsid w:val="00EA039C"/>
    <w:rsid w:val="00EB43EC"/>
    <w:rsid w:val="00EB73C0"/>
    <w:rsid w:val="00EC3C73"/>
    <w:rsid w:val="00EC79F0"/>
    <w:rsid w:val="00ED2A19"/>
    <w:rsid w:val="00EE1E1D"/>
    <w:rsid w:val="00EF1656"/>
    <w:rsid w:val="00F21D86"/>
    <w:rsid w:val="00F26E8E"/>
    <w:rsid w:val="00F360C3"/>
    <w:rsid w:val="00F43F26"/>
    <w:rsid w:val="00F65A6B"/>
    <w:rsid w:val="00F811AD"/>
    <w:rsid w:val="00FB0E0E"/>
    <w:rsid w:val="00FB5E8C"/>
    <w:rsid w:val="00FC05EA"/>
    <w:rsid w:val="00FC5898"/>
    <w:rsid w:val="00FF0CE8"/>
    <w:rsid w:val="3D7A8193"/>
    <w:rsid w:val="6DBF4A12"/>
    <w:rsid w:val="77BD27C9"/>
    <w:rsid w:val="7D2FE213"/>
    <w:rsid w:val="D7FE9E0F"/>
    <w:rsid w:val="F5BDA644"/>
    <w:rsid w:val="F6FF0C5F"/>
    <w:rsid w:val="F7AF9B18"/>
    <w:rsid w:val="FC7F5596"/>
    <w:rsid w:val="FE3123EC"/>
    <w:rsid w:val="FF5F8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35"/>
    <w:pPr>
      <w:spacing w:before="50" w:beforeLines="50" w:after="50" w:afterLines="50"/>
      <w:ind w:left="400" w:leftChars="400"/>
      <w:jc w:val="center"/>
    </w:pPr>
    <w:rPr>
      <w:rFonts w:ascii="Arial" w:hAnsi="Arial" w:eastAsia="楷体_GB2312" w:cs="Times New Roman"/>
      <w:b/>
      <w:szCs w:val="2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表文字"/>
    <w:basedOn w:val="1"/>
    <w:link w:val="11"/>
    <w:qFormat/>
    <w:uiPriority w:val="0"/>
    <w:pPr>
      <w:spacing w:line="300" w:lineRule="exact"/>
    </w:pPr>
    <w:rPr>
      <w:rFonts w:ascii="Arial" w:hAnsi="Arial" w:eastAsia="楷体_GB2312" w:cs="Times New Roman"/>
      <w:lang w:val="zh-CN"/>
    </w:rPr>
  </w:style>
  <w:style w:type="character" w:customStyle="1" w:styleId="11">
    <w:name w:val="表文字 Char"/>
    <w:link w:val="10"/>
    <w:qFormat/>
    <w:uiPriority w:val="0"/>
    <w:rPr>
      <w:rFonts w:ascii="Arial" w:hAnsi="Arial" w:eastAsia="楷体_GB2312" w:cs="Times New Roman"/>
      <w:lang w:val="zh-CN" w:eastAsia="zh-CN"/>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批注框文本 Char"/>
    <w:basedOn w:val="9"/>
    <w:link w:val="3"/>
    <w:semiHidden/>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455</Words>
  <Characters>2596</Characters>
  <Lines>21</Lines>
  <Paragraphs>6</Paragraphs>
  <TotalTime>49</TotalTime>
  <ScaleCrop>false</ScaleCrop>
  <LinksUpToDate>false</LinksUpToDate>
  <CharactersWithSpaces>3045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2023-03-17T00:59:00Z</dcterms:created>
  <dc:creator>潘玥</dc:creator>
  <cp:lastModifiedBy>llc</cp:lastModifiedBy>
  <cp:lastPrinted>2023-03-21T11:51:00Z</cp:lastPrinted>
  <dcterms:modified xsi:type="dcterms:W3CDTF">2023-04-13T17:28:11Z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