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color w:val="auto"/>
        </w:rPr>
      </w:pPr>
      <w:r>
        <w:rPr>
          <w:rFonts w:hint="eastAsia" w:ascii="方正小标宋_GBK" w:hAnsi="Times New Roman" w:eastAsia="方正小标宋_GBK" w:cs="Calibri"/>
          <w:color w:val="auto"/>
          <w:sz w:val="44"/>
          <w:szCs w:val="21"/>
        </w:rPr>
        <w:t>关于</w:t>
      </w:r>
      <w:r>
        <w:rPr>
          <w:rFonts w:hint="eastAsia" w:ascii="方正小标宋_GBK" w:hAnsi="Times New Roman" w:eastAsia="方正小标宋_GBK" w:cs="Calibri"/>
          <w:color w:val="auto"/>
          <w:sz w:val="44"/>
          <w:szCs w:val="21"/>
          <w:lang w:val="en-US" w:eastAsia="zh-CN"/>
        </w:rPr>
        <w:t>[南油地区]</w:t>
      </w:r>
      <w:r>
        <w:rPr>
          <w:rFonts w:hint="eastAsia" w:ascii="方正小标宋_GBK" w:hAnsi="Times New Roman" w:eastAsia="方正小标宋_GBK" w:cs="Calibri"/>
          <w:color w:val="auto"/>
          <w:sz w:val="44"/>
          <w:szCs w:val="21"/>
        </w:rPr>
        <w:t>法定图则03-10-06等地块规划调整的通告</w:t>
      </w:r>
    </w:p>
    <w:p>
      <w:pPr>
        <w:rPr>
          <w:color w:val="auto"/>
        </w:rPr>
      </w:pPr>
    </w:p>
    <w:p>
      <w:pPr>
        <w:adjustRightInd w:val="0"/>
        <w:ind w:firstLine="480" w:firstLineChars="200"/>
        <w:rPr>
          <w:rFonts w:ascii="仿宋_GB2312" w:hAnsi="Times New Roman" w:eastAsia="仿宋_GB2312" w:cs="Calibri"/>
          <w:color w:val="auto"/>
          <w:sz w:val="24"/>
          <w:szCs w:val="24"/>
        </w:rPr>
      </w:pP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依据《深圳市城市规划条例》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eastAsia="zh-CN"/>
        </w:rPr>
        <w:t>、《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深圳市拆除重建类城市更新单元计划审批操作规则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eastAsia="zh-CN"/>
        </w:rPr>
        <w:t>》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等相关法律法规</w:t>
      </w:r>
      <w:bookmarkStart w:id="0" w:name="_GoBack"/>
      <w:bookmarkEnd w:id="0"/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，经深圳市城市规划委员会授权，</w:t>
      </w:r>
      <w:r>
        <w:rPr>
          <w:rFonts w:hint="eastAsia" w:ascii="仿宋_GB2312" w:hAnsi="Times New Roman" w:eastAsia="仿宋_GB2312" w:cs="Calibri"/>
          <w:b/>
          <w:color w:val="auto"/>
          <w:sz w:val="24"/>
          <w:szCs w:val="24"/>
        </w:rPr>
        <w:t>深圳市规划和自然资源局</w:t>
      </w:r>
      <w:r>
        <w:rPr>
          <w:rFonts w:hint="eastAsia" w:ascii="仿宋_GB2312" w:hAnsi="Times New Roman" w:eastAsia="仿宋_GB2312" w:cs="Calibri"/>
          <w:b/>
          <w:color w:val="auto"/>
          <w:sz w:val="24"/>
          <w:szCs w:val="24"/>
          <w:lang w:val="en-US" w:eastAsia="zh-CN"/>
        </w:rPr>
        <w:t>南山管理</w:t>
      </w:r>
      <w:r>
        <w:rPr>
          <w:rFonts w:hint="eastAsia" w:ascii="仿宋_GB2312" w:hAnsi="Times New Roman" w:eastAsia="仿宋_GB2312" w:cs="Calibri"/>
          <w:b/>
          <w:color w:val="auto"/>
          <w:sz w:val="24"/>
          <w:szCs w:val="24"/>
        </w:rPr>
        <w:t>局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2022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年第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14次局长办公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会议审批通过[南油地区]法定图则03-10-06等地块规划调整事项，现予以公布：</w:t>
      </w:r>
    </w:p>
    <w:p>
      <w:pPr>
        <w:jc w:val="center"/>
        <w:rPr>
          <w:rFonts w:hint="eastAsia" w:eastAsiaTheme="minorEastAsia"/>
          <w:color w:val="auto"/>
          <w:lang w:eastAsia="zh-CN"/>
        </w:rPr>
      </w:pPr>
      <w:r>
        <w:rPr>
          <w:rFonts w:hint="eastAsia" w:eastAsiaTheme="minorEastAsia"/>
          <w:color w:val="auto"/>
          <w:lang w:eastAsia="zh-CN"/>
        </w:rPr>
        <w:drawing>
          <wp:inline distT="0" distB="0" distL="114300" distR="114300">
            <wp:extent cx="3392170" cy="3656965"/>
            <wp:effectExtent l="0" t="0" r="17780" b="635"/>
            <wp:docPr id="1" name="图片 1" descr="公示-附件：[南油地区]法定图则03-10-06等地块规划调整用地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示-附件：[南油地区]法定图则03-10-06等地块规划调整用地示意图"/>
                    <pic:cNvPicPr>
                      <a:picLocks noChangeAspect="1"/>
                    </pic:cNvPicPr>
                  </pic:nvPicPr>
                  <pic:blipFill>
                    <a:blip r:embed="rId4"/>
                    <a:srcRect l="49233" t="5635" b="40634"/>
                    <a:stretch>
                      <a:fillRect/>
                    </a:stretch>
                  </pic:blipFill>
                  <pic:spPr>
                    <a:xfrm>
                      <a:off x="0" y="0"/>
                      <a:ext cx="339217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auto"/>
        </w:rPr>
      </w:pPr>
    </w:p>
    <w:tbl>
      <w:tblPr>
        <w:tblStyle w:val="6"/>
        <w:tblW w:w="814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742"/>
        <w:gridCol w:w="750"/>
        <w:gridCol w:w="2275"/>
        <w:gridCol w:w="35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1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  <w:lang w:val="en-US" w:eastAsia="zh-CN"/>
              </w:rPr>
              <w:t>规划控制单元控制要求一览</w:t>
            </w: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  <w:lang w:val="en-US" w:eastAsia="zh-CN"/>
              </w:rPr>
              <w:t>规划控制单元编号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幼圆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  <w:lang w:val="en-US" w:eastAsia="zh-CN"/>
              </w:rPr>
              <w:t>单元面积（公顷）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幼圆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  <w:lang w:val="en-US" w:eastAsia="zh-CN"/>
              </w:rPr>
              <w:t>主导功能</w:t>
            </w:r>
          </w:p>
        </w:tc>
        <w:tc>
          <w:tcPr>
            <w:tcW w:w="2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  <w:lang w:val="en-US" w:eastAsia="zh-CN"/>
              </w:rPr>
              <w:t>配套设施名称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幼圆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GX01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幼圆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8.82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居住</w:t>
            </w:r>
          </w:p>
        </w:tc>
        <w:tc>
          <w:tcPr>
            <w:tcW w:w="2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幼圆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九年一贯制学校（办学规模≥45班，用地面积≥20400平方米）、社区服务中心</w:t>
            </w:r>
          </w:p>
        </w:tc>
        <w:tc>
          <w:tcPr>
            <w:tcW w:w="3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Cs w:val="21"/>
              </w:rPr>
              <w:t>1、本单元内项目更新主导方向为公共住房，依据城市更新有关政策执行。2、单元内地块划分、地块用途、开发强度、配套设施等具体控制指标在下一步城市更新专项规划阶段确定。3、单元内规划道路线型可在专项规划中优化调整。4、单元内沿南山大道、东滨路一侧规划宽度不少于10米的公园绿地，总面积不少于5200平方米。</w:t>
            </w:r>
          </w:p>
        </w:tc>
      </w:tr>
    </w:tbl>
    <w:p>
      <w:pPr>
        <w:jc w:val="center"/>
        <w:rPr>
          <w:color w:val="auto"/>
        </w:rPr>
      </w:pPr>
    </w:p>
    <w:tbl>
      <w:tblPr>
        <w:tblStyle w:val="6"/>
        <w:tblW w:w="814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643"/>
        <w:gridCol w:w="1245"/>
        <w:gridCol w:w="1306"/>
        <w:gridCol w:w="1418"/>
        <w:gridCol w:w="1417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1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地块编号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用地代码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用地性质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用地面积（平方米）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容积率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配套设施设置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03-13-01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幼圆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</w:rPr>
              <w:t>G</w:t>
            </w: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1+G4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公园绿地+广场用地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幼圆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7159.7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Cs w:val="21"/>
                <w:lang w:val="en-US" w:eastAsia="zh-CN"/>
              </w:rPr>
              <w:t>公共厕所、小型垃圾转运站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03-13-02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U1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供应设施用地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3500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0.1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Cs w:val="21"/>
                <w:lang w:val="en-US" w:eastAsia="zh-CN"/>
              </w:rPr>
              <w:t>110千伏变电站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03-13-05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M1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普通工业用地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15237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Cs w:val="21"/>
                <w:lang w:eastAsia="zh-CN"/>
              </w:rPr>
              <w:t>——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特别管制地区，规划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03-13-10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G1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公园绿地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826.4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eastAsia="zh-CN"/>
              </w:rPr>
              <w:t>——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Cs w:val="21"/>
                <w:lang w:eastAsia="zh-CN"/>
              </w:rPr>
              <w:t>——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现状保留</w:t>
            </w:r>
          </w:p>
        </w:tc>
      </w:tr>
    </w:tbl>
    <w:p>
      <w:pPr>
        <w:spacing w:before="120" w:after="120"/>
        <w:ind w:right="560" w:firstLine="480"/>
        <w:jc w:val="center"/>
        <w:rPr>
          <w:rFonts w:hint="eastAsia" w:ascii="仿宋_GB2312" w:hAnsi="Calibri" w:eastAsia="仿宋_GB2312" w:cs="Calibri"/>
          <w:color w:val="auto"/>
          <w:sz w:val="28"/>
          <w:szCs w:val="28"/>
        </w:rPr>
      </w:pPr>
      <w:r>
        <w:rPr>
          <w:rFonts w:hint="eastAsia" w:ascii="仿宋_GB2312" w:hAnsi="Calibri" w:eastAsia="仿宋_GB2312" w:cs="Calibri"/>
          <w:color w:val="auto"/>
          <w:sz w:val="28"/>
          <w:szCs w:val="28"/>
        </w:rPr>
        <w:t xml:space="preserve">                      </w:t>
      </w:r>
    </w:p>
    <w:p>
      <w:pPr>
        <w:spacing w:before="120" w:after="120"/>
        <w:ind w:right="560" w:firstLine="480"/>
        <w:jc w:val="center"/>
        <w:rPr>
          <w:rFonts w:hint="eastAsia" w:ascii="仿宋_GB2312" w:hAnsi="Calibri" w:eastAsia="仿宋_GB2312" w:cs="Calibri"/>
          <w:color w:val="auto"/>
          <w:sz w:val="28"/>
          <w:szCs w:val="28"/>
        </w:rPr>
      </w:pPr>
    </w:p>
    <w:p>
      <w:pPr>
        <w:spacing w:before="120" w:after="120"/>
        <w:ind w:right="560" w:firstLine="480"/>
        <w:jc w:val="center"/>
        <w:rPr>
          <w:rFonts w:ascii="仿宋_GB2312" w:hAnsi="Calibri" w:eastAsia="仿宋_GB2312" w:cs="Calibri"/>
          <w:color w:val="auto"/>
          <w:sz w:val="24"/>
          <w:szCs w:val="24"/>
        </w:rPr>
      </w:pPr>
      <w:r>
        <w:rPr>
          <w:rFonts w:hint="eastAsia" w:ascii="仿宋_GB2312" w:hAnsi="Calibri" w:eastAsia="仿宋_GB2312" w:cs="Calibri"/>
          <w:color w:val="auto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_GB2312" w:hAnsi="Calibri" w:eastAsia="仿宋_GB2312" w:cs="Calibri"/>
          <w:color w:val="auto"/>
          <w:sz w:val="28"/>
          <w:szCs w:val="28"/>
        </w:rPr>
        <w:t xml:space="preserve"> 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深圳市城市规划委员会</w:t>
      </w:r>
    </w:p>
    <w:p>
      <w:pPr>
        <w:spacing w:before="120" w:after="120"/>
        <w:ind w:firstLine="480"/>
        <w:jc w:val="right"/>
        <w:rPr>
          <w:rFonts w:ascii="仿宋_GB2312" w:hAnsi="Calibri" w:eastAsia="仿宋_GB2312" w:cs="Calibri"/>
          <w:b/>
          <w:color w:val="auto"/>
          <w:sz w:val="24"/>
          <w:szCs w:val="24"/>
        </w:rPr>
      </w:pPr>
      <w:r>
        <w:rPr>
          <w:rFonts w:hint="eastAsia" w:ascii="仿宋_GB2312" w:hAnsi="Calibri" w:eastAsia="仿宋_GB2312" w:cs="Calibri"/>
          <w:b/>
          <w:color w:val="auto"/>
          <w:sz w:val="24"/>
          <w:szCs w:val="24"/>
        </w:rPr>
        <w:t>深圳市规划和自然资源局</w:t>
      </w:r>
      <w:r>
        <w:rPr>
          <w:rFonts w:hint="eastAsia" w:ascii="仿宋_GB2312" w:hAnsi="Calibri" w:eastAsia="仿宋_GB2312" w:cs="Calibri"/>
          <w:b/>
          <w:color w:val="auto"/>
          <w:sz w:val="24"/>
          <w:szCs w:val="24"/>
          <w:lang w:val="en-US" w:eastAsia="zh-CN"/>
        </w:rPr>
        <w:t>南山</w:t>
      </w:r>
      <w:r>
        <w:rPr>
          <w:rFonts w:hint="eastAsia" w:ascii="仿宋_GB2312" w:hAnsi="Calibri" w:eastAsia="仿宋_GB2312" w:cs="Calibri"/>
          <w:b/>
          <w:color w:val="auto"/>
          <w:sz w:val="24"/>
          <w:szCs w:val="24"/>
        </w:rPr>
        <w:t>管理局</w:t>
      </w:r>
    </w:p>
    <w:p>
      <w:pPr>
        <w:ind w:right="480"/>
        <w:jc w:val="center"/>
        <w:rPr>
          <w:rFonts w:hint="eastAsia" w:ascii="仿宋_GB2312" w:hAnsi="Calibri" w:eastAsia="仿宋_GB2312" w:cs="Calibri"/>
          <w:color w:val="auto"/>
          <w:sz w:val="24"/>
          <w:szCs w:val="24"/>
        </w:rPr>
      </w:pPr>
      <w:r>
        <w:rPr>
          <w:rFonts w:hint="eastAsia" w:ascii="仿宋_GB2312" w:hAnsi="Calibri" w:eastAsia="仿宋_GB2312" w:cs="Calibri"/>
          <w:color w:val="auto"/>
          <w:sz w:val="24"/>
          <w:szCs w:val="24"/>
        </w:rPr>
        <w:t xml:space="preserve">                                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 xml:space="preserve">   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二二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>十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月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>二十四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97"/>
    <w:rsid w:val="000073EF"/>
    <w:rsid w:val="00015BDD"/>
    <w:rsid w:val="00045800"/>
    <w:rsid w:val="00091A53"/>
    <w:rsid w:val="000B4329"/>
    <w:rsid w:val="00112367"/>
    <w:rsid w:val="001742F3"/>
    <w:rsid w:val="001F664A"/>
    <w:rsid w:val="002153D7"/>
    <w:rsid w:val="00256BAC"/>
    <w:rsid w:val="00270CDA"/>
    <w:rsid w:val="002B740F"/>
    <w:rsid w:val="002F2C8E"/>
    <w:rsid w:val="00352603"/>
    <w:rsid w:val="00396F24"/>
    <w:rsid w:val="003A6D6C"/>
    <w:rsid w:val="003C52DE"/>
    <w:rsid w:val="00404DC9"/>
    <w:rsid w:val="00413C87"/>
    <w:rsid w:val="00443EDA"/>
    <w:rsid w:val="00457417"/>
    <w:rsid w:val="005202B5"/>
    <w:rsid w:val="005223C5"/>
    <w:rsid w:val="00524697"/>
    <w:rsid w:val="0052647C"/>
    <w:rsid w:val="00544079"/>
    <w:rsid w:val="0055401C"/>
    <w:rsid w:val="00584EBD"/>
    <w:rsid w:val="005B1557"/>
    <w:rsid w:val="005D3F10"/>
    <w:rsid w:val="005D679D"/>
    <w:rsid w:val="006414A2"/>
    <w:rsid w:val="00650231"/>
    <w:rsid w:val="00663BE7"/>
    <w:rsid w:val="00672F18"/>
    <w:rsid w:val="00694342"/>
    <w:rsid w:val="006C78DC"/>
    <w:rsid w:val="007009F2"/>
    <w:rsid w:val="0070441F"/>
    <w:rsid w:val="00706A80"/>
    <w:rsid w:val="007A1305"/>
    <w:rsid w:val="00812ECE"/>
    <w:rsid w:val="00826723"/>
    <w:rsid w:val="00832071"/>
    <w:rsid w:val="00866132"/>
    <w:rsid w:val="008F5960"/>
    <w:rsid w:val="00906263"/>
    <w:rsid w:val="00955D78"/>
    <w:rsid w:val="0099670B"/>
    <w:rsid w:val="009E0D93"/>
    <w:rsid w:val="00A437B1"/>
    <w:rsid w:val="00A64F48"/>
    <w:rsid w:val="00AC3764"/>
    <w:rsid w:val="00AD0CE2"/>
    <w:rsid w:val="00AE1036"/>
    <w:rsid w:val="00B04AA4"/>
    <w:rsid w:val="00B06E55"/>
    <w:rsid w:val="00B5463F"/>
    <w:rsid w:val="00B90161"/>
    <w:rsid w:val="00BC7153"/>
    <w:rsid w:val="00C20EB6"/>
    <w:rsid w:val="00C669E7"/>
    <w:rsid w:val="00C775FF"/>
    <w:rsid w:val="00C9244A"/>
    <w:rsid w:val="00D5221A"/>
    <w:rsid w:val="00D52585"/>
    <w:rsid w:val="00D733AD"/>
    <w:rsid w:val="00DA44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45A9F"/>
    <w:rsid w:val="00FA0658"/>
    <w:rsid w:val="01E416F0"/>
    <w:rsid w:val="0368610D"/>
    <w:rsid w:val="0DD1783B"/>
    <w:rsid w:val="19F6684D"/>
    <w:rsid w:val="25177228"/>
    <w:rsid w:val="34E548AF"/>
    <w:rsid w:val="3D3A04E9"/>
    <w:rsid w:val="43C1395A"/>
    <w:rsid w:val="4658516D"/>
    <w:rsid w:val="4CC84389"/>
    <w:rsid w:val="56510A74"/>
    <w:rsid w:val="59441EBA"/>
    <w:rsid w:val="5B4B11BD"/>
    <w:rsid w:val="5BC35983"/>
    <w:rsid w:val="6565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48</Words>
  <Characters>279</Characters>
  <Lines>2</Lines>
  <Paragraphs>1</Paragraphs>
  <TotalTime>5</TotalTime>
  <ScaleCrop>false</ScaleCrop>
  <LinksUpToDate>false</LinksUpToDate>
  <CharactersWithSpaces>326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2019-07-05T06:22:00Z</dcterms:created>
  <dc:creator>谭权</dc:creator>
  <cp:lastModifiedBy>null</cp:lastModifiedBy>
  <cp:lastPrinted>2017-04-21T03:56:00Z</cp:lastPrinted>
  <dcterms:modified xsi:type="dcterms:W3CDTF">2023-03-30T02:26:06Z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D4F05D32EDBD462EB564596B925EE194</vt:lpwstr>
  </property>
</Properties>
</file>