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color w:val="auto"/>
        </w:rPr>
      </w:pPr>
      <w:r>
        <w:rPr>
          <w:rFonts w:hint="eastAsia" w:ascii="方正小标宋_GBK" w:hAnsi="Times New Roman" w:eastAsia="方正小标宋_GBK" w:cs="Calibri"/>
          <w:color w:val="auto"/>
          <w:sz w:val="44"/>
          <w:szCs w:val="21"/>
        </w:rPr>
        <w:t>关于</w:t>
      </w:r>
      <w:r>
        <w:rPr>
          <w:rFonts w:hint="eastAsia" w:ascii="方正小标宋_GBK" w:hAnsi="Times New Roman" w:eastAsia="方正小标宋_GBK" w:cs="Calibri"/>
          <w:color w:val="auto"/>
          <w:sz w:val="44"/>
          <w:szCs w:val="21"/>
          <w:lang w:val="en-US" w:eastAsia="zh-CN"/>
        </w:rPr>
        <w:t>《中国（广东）自由贸易试验区深圳前海蛇口片区及大小南山周边地区综合规划》05-02-05及05-02-07等地块</w:t>
      </w:r>
      <w:r>
        <w:rPr>
          <w:rFonts w:hint="eastAsia" w:ascii="方正小标宋_GBK" w:hAnsi="Times New Roman" w:eastAsia="方正小标宋_GBK" w:cs="Calibri"/>
          <w:color w:val="auto"/>
          <w:sz w:val="44"/>
          <w:szCs w:val="21"/>
        </w:rPr>
        <w:t>规划调整的通告</w:t>
      </w:r>
    </w:p>
    <w:p>
      <w:pPr>
        <w:rPr>
          <w:color w:val="auto"/>
        </w:rPr>
      </w:pPr>
    </w:p>
    <w:p>
      <w:pPr>
        <w:adjustRightInd w:val="0"/>
        <w:ind w:firstLine="480" w:firstLineChars="200"/>
        <w:rPr>
          <w:rFonts w:ascii="仿宋_GB2312" w:hAnsi="Times New Roman" w:eastAsia="仿宋_GB2312" w:cs="Calibri"/>
          <w:color w:val="auto"/>
          <w:sz w:val="24"/>
          <w:szCs w:val="24"/>
        </w:rPr>
      </w:pP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依据《深圳市城市规划条例》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eastAsia="zh-CN"/>
        </w:rPr>
        <w:t>、《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深圳市落实住房制度改革加快住房用地供应的暂行规定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eastAsia="zh-CN"/>
        </w:rPr>
        <w:t>》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等相关法律法规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，经深圳市城市规划委员会授权，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</w:rPr>
        <w:t>深圳市规划和自然资源局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  <w:lang w:val="en-US" w:eastAsia="zh-CN"/>
        </w:rPr>
        <w:t>南山管理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</w:rPr>
        <w:t>局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2022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年第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9次局长办公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会议审批通过《中国（广东）自由贸易试验区深圳前海蛇口片区及大小南山周边地区综合规划》05-02-05及05-02-07 等地块规划调整事项，现予以公布：</w:t>
      </w:r>
    </w:p>
    <w:p>
      <w:pPr>
        <w:jc w:val="center"/>
        <w:rPr>
          <w:rFonts w:hint="eastAsia" w:eastAsiaTheme="minorEastAsia"/>
          <w:color w:val="auto"/>
          <w:lang w:eastAsia="zh-CN"/>
        </w:rPr>
      </w:pP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4933315" cy="3451225"/>
            <wp:effectExtent l="0" t="0" r="635" b="15875"/>
            <wp:docPr id="1" name="图片 1" descr="局长办公会-《自贸区规划》大小南山片区05-02-05及05-02-07等地块规划调整方案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局长办公会-《自贸区规划》大小南山片区05-02-05及05-02-07等地块规划调整方案_01"/>
                    <pic:cNvPicPr>
                      <a:picLocks noChangeAspect="1"/>
                    </pic:cNvPicPr>
                  </pic:nvPicPr>
                  <pic:blipFill>
                    <a:blip r:embed="rId4"/>
                    <a:srcRect l="50241" t="9814" b="40963"/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tbl>
      <w:tblPr>
        <w:tblStyle w:val="6"/>
        <w:tblW w:w="84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650"/>
        <w:gridCol w:w="893"/>
        <w:gridCol w:w="1262"/>
        <w:gridCol w:w="662"/>
        <w:gridCol w:w="2305"/>
        <w:gridCol w:w="15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8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用地面积（平方米）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配套设施设置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6" w:hRule="atLeast"/>
        </w:trPr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05-02-05-01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  <w:t>R2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二类居住用地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62871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6.0</w:t>
            </w: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Cs w:val="21"/>
                <w:lang w:val="en-US" w:eastAsia="zh-CN"/>
              </w:rPr>
              <w:t>21班幼儿园（用地面积≥6300平方米），托育机构（建筑面积760平方米），社区老年人日间照料中心（建筑面积1500平方米），文化活动室（建筑面积1000平方米），社区健康服务中心（建筑面积≥1400平方米），社区管理用房（建筑面积300平方米），社区服务中心（建筑面积400平方米），社区警务室（建筑面积50平方米），熟食中心（建筑面积500平方米），公交首末站（建筑面积5700平方米）、公共充电站（建筑面积700平方米）、小型垃圾转运站（建筑面积480平方米，含再生资源回收站、公共厕所、环卫工人休息房）、社区体育活动场地（用地面积3000平方米）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  <w:t>（1）容积率不包括公共配套设施建筑面积；</w:t>
            </w:r>
          </w:p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  <w:t>（2）地块建筑限高120米，建筑布局应加强与小南山的空间呼应；</w:t>
            </w:r>
          </w:p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  <w:t>（3）在月前一路、前海路开口设置一条宽度不少于12米的公共通道，保持24小时无偿对公众开放，并预留05-02-04地块出入口1处；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  <w:t>（4）本项目需预留不少于3150平方米公共开放空间，并在建筑布局上保障月亮湾大道至小南山的视线通廊。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05-02-05-02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G1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公园绿地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2424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——</w:t>
            </w: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Cs w:val="21"/>
                <w:lang w:val="en-US" w:eastAsia="zh-CN"/>
              </w:rPr>
              <w:t>——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05-02-07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GIC5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教育设施用地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20400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——</w:t>
            </w: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Cs w:val="21"/>
                <w:lang w:eastAsia="zh-CN"/>
              </w:rPr>
              <w:t>九年一贯制学校（45班）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学校内活动场地可作为社区活动场地使用</w:t>
            </w:r>
          </w:p>
        </w:tc>
      </w:tr>
    </w:tbl>
    <w:p>
      <w:pPr>
        <w:spacing w:before="120" w:after="120"/>
        <w:ind w:right="560"/>
        <w:jc w:val="both"/>
        <w:rPr>
          <w:rFonts w:ascii="仿宋_GB2312" w:hAnsi="Calibri" w:eastAsia="仿宋_GB2312" w:cs="Calibri"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color w:val="auto"/>
          <w:sz w:val="28"/>
          <w:szCs w:val="28"/>
        </w:rPr>
        <w:t xml:space="preserve">                      </w:t>
      </w:r>
      <w:r>
        <w:rPr>
          <w:rFonts w:hint="eastAsia" w:ascii="仿宋_GB2312" w:hAnsi="Calibri" w:eastAsia="仿宋_GB2312" w:cs="Calibri"/>
          <w:color w:val="auto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深圳市城市规划委员会</w:t>
      </w:r>
      <w:bookmarkStart w:id="0" w:name="_GoBack"/>
      <w:bookmarkEnd w:id="0"/>
    </w:p>
    <w:p>
      <w:pPr>
        <w:spacing w:before="120" w:after="120"/>
        <w:ind w:firstLine="480"/>
        <w:jc w:val="right"/>
        <w:rPr>
          <w:rFonts w:ascii="仿宋_GB2312" w:hAnsi="Calibri" w:eastAsia="仿宋_GB2312" w:cs="Calibri"/>
          <w:b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b/>
          <w:color w:val="auto"/>
          <w:sz w:val="24"/>
          <w:szCs w:val="24"/>
        </w:rPr>
        <w:t>深圳市规划和自然资源局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  <w:lang w:val="en-US" w:eastAsia="zh-CN"/>
        </w:rPr>
        <w:t>南山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</w:rPr>
        <w:t>管理局</w:t>
      </w:r>
    </w:p>
    <w:p>
      <w:pPr>
        <w:ind w:right="480"/>
        <w:jc w:val="center"/>
        <w:rPr>
          <w:rFonts w:hint="eastAsia" w:ascii="仿宋_GB2312" w:hAnsi="Calibri" w:eastAsia="仿宋_GB2312" w:cs="Calibri"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color w:val="auto"/>
          <w:sz w:val="24"/>
          <w:szCs w:val="24"/>
        </w:rPr>
        <w:t xml:space="preserve">                                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 xml:space="preserve">   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二二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>七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>十八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C20EB6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368610D"/>
    <w:rsid w:val="0DD1783B"/>
    <w:rsid w:val="19F6684D"/>
    <w:rsid w:val="33773D6C"/>
    <w:rsid w:val="34E548AF"/>
    <w:rsid w:val="3D3A04E9"/>
    <w:rsid w:val="43C1395A"/>
    <w:rsid w:val="4658516D"/>
    <w:rsid w:val="4CC84389"/>
    <w:rsid w:val="54D56E3A"/>
    <w:rsid w:val="56510A74"/>
    <w:rsid w:val="59441EBA"/>
    <w:rsid w:val="5B4B11BD"/>
    <w:rsid w:val="5BC35983"/>
    <w:rsid w:val="65655DCA"/>
    <w:rsid w:val="688679CA"/>
    <w:rsid w:val="78AC04ED"/>
    <w:rsid w:val="7EAFF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48</Words>
  <Characters>279</Characters>
  <Lines>2</Lines>
  <Paragraphs>1</Paragraphs>
  <TotalTime>26</TotalTime>
  <ScaleCrop>false</ScaleCrop>
  <LinksUpToDate>false</LinksUpToDate>
  <CharactersWithSpaces>326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2019-07-05T14:22:00Z</dcterms:created>
  <dc:creator>谭权</dc:creator>
  <cp:lastModifiedBy>kylin</cp:lastModifiedBy>
  <cp:lastPrinted>2017-04-21T11:56:00Z</cp:lastPrinted>
  <dcterms:modified xsi:type="dcterms:W3CDTF">2023-03-30T15:17:02Z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D4F05D32EDBD462EB564596B925EE194</vt:lpwstr>
  </property>
</Properties>
</file>